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Default Extension="jpg" ContentType="application/octet-stream"/>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m="http://schemas.openxmlformats.org/officeDocument/2006/math"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xmlns:a14="http://schemas.microsoft.com/office/drawing/2010/main" xmlns:asvg="http://schemas.microsoft.com/office/drawing/2016/SVG/main">
  <w:body>
    <w:p>
      <w:pPr>
        <w:spacing w:line="270" w:before="157.5" w:after="157.5" w:lineRule="auto"/>
        <w:jc w:val="left"/>
      </w:pPr>
      <w:bookmarkStart w:id="0" w:name="generative_ai_in_senior_living_pu_828db9"/>
      <w:r>
        <w:rPr>
          <w:rFonts w:eastAsia="source serif 4" w:cs="source serif 4" w:ascii="source serif 4" w:hAnsi="source serif 4"/>
          <w:b/>
          <w:color w:val="000000"/>
          <w:sz w:val="39"/>
        </w:rPr>
        <w:t xml:space="preserve">Generative AI in Senior Living: Publicly Documented Real-World Uses</w:t>
      </w:r>
      <w:bookmarkEnd w:id="0"/>
    </w:p>
    <w:p>
      <w:pPr>
        <w:spacing w:line="360" w:before="315" w:after="105" w:lineRule="auto"/>
        <w:ind w:left="-30"/>
        <w:jc w:val="left"/>
      </w:pPr>
      <w:bookmarkStart w:id="1" w:name="bottom_line"/>
      <w:r>
        <w:rPr>
          <w:rFonts w:eastAsia="source serif 4" w:cs="source serif 4" w:ascii="source serif 4" w:hAnsi="source serif 4"/>
          <w:b/>
          <w:color w:val="000000"/>
          <w:sz w:val="24"/>
        </w:rPr>
        <w:t xml:space="preserve">Bottom line</w:t>
      </w:r>
      <w:bookmarkEnd w:id="1"/>
    </w:p>
    <w:p>
      <w:pPr>
        <w:spacing w:line="360" w:after="210" w:lineRule="auto"/>
      </w:pPr>
      <w:r>
        <w:rPr>
          <w:rFonts w:eastAsia="source serif 4" w:cs="source serif 4" w:ascii="source serif 4" w:hAnsi="source serif 4"/>
          <w:color w:val="000000"/>
        </w:rPr>
        <w:t xml:space="preserve">Generative AI is already being used in senior living, but the public evidence shows adoption is concentrated in </w:t>
      </w:r>
      <w:r>
        <w:rPr>
          <w:rFonts w:eastAsia="source serif 4" w:cs="source serif 4" w:ascii="source serif 4" w:hAnsi="source serif 4"/>
          <w:b/>
          <w:color w:val="000000"/>
        </w:rPr>
        <w:t xml:space="preserve">sales, marketing, staff productivity, document summarization, internal knowledge assistants, and resident-engagement personalization</w:t>
      </w:r>
      <w:r>
        <w:rPr>
          <w:rFonts w:eastAsia="source serif 4" w:cs="source serif 4" w:ascii="source serif 4" w:hAnsi="source serif 4"/>
          <w:color w:val="000000"/>
        </w:rPr>
        <w:t xml:space="preserve">, not autonomous clinical decision-making. Senior Housing News reported that Anthem Memory Care, Ascent Senior Living, and LCS have used tools such as Claude, ChatGPT, Microsoft Copilot, and Salesforce AI for executive analysis, daily summaries, research, code prototypes, sales lead analysis, and caregiver documentation reminders (</w:t>
      </w:r>
      <w:hyperlink r:id="rId5">
        <w:r>
          <w:rPr>
            <w:rFonts w:eastAsia="source sans 3" w:cs="source sans 3" w:ascii="source sans 3" w:hAnsi="source sans 3"/>
            <w:color w:val="#000"/>
            <w:u w:val="single"/>
          </w:rPr>
          <w:t xml:space="preserve">Senior Housing News</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The strongest senior-living-specific use cases are </w:t>
      </w:r>
      <w:r>
        <w:rPr>
          <w:rFonts w:eastAsia="source serif 4" w:cs="source serif 4" w:ascii="source serif 4" w:hAnsi="source serif 4"/>
          <w:b/>
          <w:color w:val="000000"/>
        </w:rPr>
        <w:t xml:space="preserve">commercial and operational copilots</w:t>
      </w:r>
      <w:r>
        <w:rPr>
          <w:rFonts w:eastAsia="source serif 4" w:cs="source serif 4" w:ascii="source serif 4" w:hAnsi="source serif 4"/>
          <w:color w:val="000000"/>
        </w:rPr>
        <w:t xml:space="preserve">: Aline has made Aline Connect generally available as an AI outbound agent inside its senior living CRM, and the company says Bridge Senior Living was among the first operators to deploy it across its portfolio (</w:t>
      </w:r>
      <w:hyperlink r:id="rId6">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 LifeLoop publicly describes generative-AI resident onboarding that automatically generates resident biographies from onboarding interviews, and it cites MorningStar Senior Living, New Perspective Senior Living, and Cogir Senior Living in connection with its AI-enhanced engagement tools and conference sessions (</w:t>
      </w:r>
      <w:hyperlink r:id="rId7">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 </w:t>
      </w:r>
      <w:hyperlink r:id="rId8">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The clearest clinical-adjacent senior-care deployment is Cypress Living’s use of ChatGPT-integrated chatbots, including HUGO for fall-prevention interventions and other retrieval-augmented chatbots for clinical pathways and policy/procedure questions (</w:t>
      </w:r>
      <w:hyperlink r:id="rId9">
        <w:r>
          <w:rPr>
            <w:rFonts w:eastAsia="source sans 3" w:cs="source sans 3" w:ascii="source sans 3" w:hAnsi="source sans 3"/>
            <w:color w:val="#000"/>
            <w:u w:val="single"/>
          </w:rPr>
          <w:t xml:space="preserve">Cypress Living</w:t>
        </w:r>
      </w:hyperlink>
      <w:r>
        <w:rPr>
          <w:rFonts w:eastAsia="source serif 4" w:cs="source serif 4" w:ascii="source serif 4" w:hAnsi="source serif 4"/>
          <w:color w:val="000000"/>
        </w:rPr>
        <w:t xml:space="preserve">, </w:t>
      </w:r>
      <w:hyperlink r:id="rId10">
        <w:r>
          <w:rPr>
            <w:rFonts w:eastAsia="source sans 3" w:cs="source sans 3" w:ascii="source sans 3" w:hAnsi="source sans 3"/>
            <w:color w:val="#000"/>
            <w:u w:val="single"/>
          </w:rPr>
          <w:t xml:space="preserve">HealthTech Magazine</w:t>
        </w:r>
      </w:hyperlink>
      <w:r>
        <w:rPr>
          <w:rFonts w:eastAsia="source serif 4" w:cs="source serif 4" w:ascii="source serif 4" w:hAnsi="source serif 4"/>
          <w:color w:val="000000"/>
        </w:rPr>
        <w:t xml:space="preserve">). Publicly documented clinical documentation automation is more mature in adjacent post-acute and broader healthcare settings, including Netsmart’s Bells ambient documentation suite and HCA Healthcare’s Google Cloud-built Nurse Handoff pilot in five hospitals (</w:t>
      </w:r>
      <w:hyperlink r:id="rId11">
        <w:r>
          <w:rPr>
            <w:rFonts w:eastAsia="source sans 3" w:cs="source sans 3" w:ascii="source sans 3" w:hAnsi="source sans 3"/>
            <w:color w:val="#000"/>
            <w:u w:val="single"/>
          </w:rPr>
          <w:t xml:space="preserve">Netsmart</w:t>
        </w:r>
      </w:hyperlink>
      <w:r>
        <w:rPr>
          <w:rFonts w:eastAsia="source serif 4" w:cs="source serif 4" w:ascii="source serif 4" w:hAnsi="source serif 4"/>
          <w:color w:val="000000"/>
        </w:rPr>
        <w:t xml:space="preserve">, </w:t>
      </w:r>
      <w:hyperlink r:id="rId12">
        <w:r>
          <w:rPr>
            <w:rFonts w:eastAsia="source sans 3" w:cs="source sans 3" w:ascii="source sans 3" w:hAnsi="source sans 3"/>
            <w:color w:val="#000"/>
            <w:u w:val="single"/>
          </w:rPr>
          <w:t xml:space="preserve">Google Blog</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The caution is equally clear: senior living operators have already reported hallucinations, bad meeting notes, “slop,” ROI uncertainty, and HIPAA-related limits on what data can be uploaded to AI platforms (</w:t>
      </w:r>
      <w:hyperlink r:id="rId13">
        <w:r>
          <w:rPr>
            <w:rFonts w:eastAsia="source sans 3" w:cs="source sans 3" w:ascii="source sans 3" w:hAnsi="source sans 3"/>
            <w:color w:val="#000"/>
            <w:u w:val="single"/>
          </w:rPr>
          <w:t xml:space="preserve">Senior Housing News</w:t>
        </w:r>
      </w:hyperlink>
      <w:r>
        <w:rPr>
          <w:rFonts w:eastAsia="source serif 4" w:cs="source serif 4" w:ascii="source serif 4" w:hAnsi="source serif 4"/>
          <w:color w:val="000000"/>
        </w:rPr>
        <w:t xml:space="preserve">). In adjacent healthcare, the National Eating Disorders Association’s Tessa chatbot was taken down after it gave weight-loss and dieting advice to an eating-disorder user, and NPR reported that the problematic feature used generative AI to create new responses (</w:t>
      </w:r>
      <w:hyperlink r:id="rId14">
        <w:r>
          <w:rPr>
            <w:rFonts w:eastAsia="source sans 3" w:cs="source sans 3" w:ascii="source sans 3" w:hAnsi="source sans 3"/>
            <w:color w:val="#000"/>
            <w:u w:val="single"/>
          </w:rPr>
          <w:t xml:space="preserve">NPR</w:t>
        </w:r>
      </w:hyperlink>
      <w:r>
        <w:rPr>
          <w:rFonts w:eastAsia="source serif 4" w:cs="source serif 4" w:ascii="source serif 4" w:hAnsi="source serif 4"/>
          <w:color w:val="000000"/>
        </w:rPr>
        <w:t xml:space="preserve">).</w:t>
      </w:r>
    </w:p>
    <w:p>
      <w:pPr>
        <w:spacing w:line="360" w:before="315" w:after="105" w:lineRule="auto"/>
        <w:ind w:left="-30"/>
        <w:jc w:val="left"/>
      </w:pPr>
      <w:bookmarkStart w:id="2" w:name="what_counts_in_this_report"/>
      <w:r>
        <w:rPr>
          <w:rFonts w:eastAsia="source serif 4" w:cs="source serif 4" w:ascii="source serif 4" w:hAnsi="source serif 4"/>
          <w:b/>
          <w:color w:val="000000"/>
          <w:sz w:val="24"/>
        </w:rPr>
        <w:t xml:space="preserve">What counts in this report</w:t>
      </w:r>
      <w:bookmarkEnd w:id="2"/>
    </w:p>
    <w:p>
      <w:pPr>
        <w:spacing w:line="360" w:after="210" w:lineRule="auto"/>
      </w:pPr>
      <w:r>
        <w:rPr>
          <w:rFonts w:eastAsia="source serif 4" w:cs="source serif 4" w:ascii="source serif 4" w:hAnsi="source serif 4"/>
          <w:color w:val="000000"/>
        </w:rPr>
        <w:t xml:space="preserve">This report focuses on public disclosures involving generative AI, large language models, chatbots, AI agents, generated text/voice/images, copilots, and ambient or AI-generated documentation in independent living, assisted living, memory care, and closely adjacent senior-care settings. It does not treat generic predictive analytics, fall-detection computer vision, or non-generative machine learning as generative AI unless the public source explicitly describes ChatGPT, an LLM, generative AI, generated text, AI agents, AI copilots, or similar capabilities.</w:t>
      </w:r>
    </w:p>
    <w:p>
      <w:pPr>
        <w:spacing w:line="360" w:before="315" w:after="105" w:lineRule="auto"/>
        <w:ind w:left="-30"/>
        <w:jc w:val="left"/>
      </w:pPr>
      <w:bookmarkStart w:id="3" w:name="publicly_documented_senior_living_e5f395"/>
      <w:r>
        <w:rPr>
          <w:rFonts w:eastAsia="source serif 4" w:cs="source serif 4" w:ascii="source serif 4" w:hAnsi="source serif 4"/>
          <w:b/>
          <w:color w:val="000000"/>
          <w:sz w:val="24"/>
        </w:rPr>
        <w:t xml:space="preserve">Publicly documented senior-living uses by operator or setting</w:t>
      </w:r>
      <w:bookmarkEnd w:id="3"/>
    </w:p>
    <w:tbl>
      <w:tblPr>
        <w:tblStyle w:val="TableGrid"/>
        <w:jc w:val="center"/>
        <w:tblCellSpacing w:w="0" w:type="dxa"/>
        <w:tblBorders>
          <w:top w:val="single" w:sz="2" w:space="0" w:color="000000"/>
          <w:left w:val="single" w:sz="2" w:space="0" w:color="000000"/>
          <w:bottom w:val="single" w:sz="2" w:space="0" w:color="000000"/>
          <w:right w:val="single" w:sz="2" w:space="0" w:color="000000"/>
        </w:tblBorders>
        <w:tblCellMar>
          <w:top w:type="dxa" w:w="80"/>
          <w:left w:type="dxa" w:w="160"/>
          <w:bottom w:type="dxa" w:w="80"/>
          <w:right w:type="dxa" w:w="160"/>
        </w:tblCellMar>
      </w:tblPr>
      <w:tblGrid>
        <w:gridCol w:w="2378"/>
        <w:gridCol w:w="2378"/>
        <w:gridCol w:w="2378"/>
        <w:gridCol w:w="2378"/>
      </w:tblGrid>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Use-case group</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Publicly documented example</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What is being done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Executive readout</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Executive productivity and document summarization</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Anthem Memory Care</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Anthem’s CEO told Senior Housing News that the executive team measures AI ROI through weekly hours saved, including an attorney summarizing a document that could take up to six hours in a fraction of the time using tools such as Claude and ChatGPT (</w:t>
            </w:r>
            <w:hyperlink r:id="rId15">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Good early ROI signal, but the same article says Anthem experienced hallucinations that produced incorrect information and forced staff to double-check notes and reports (</w:t>
            </w:r>
            <w:hyperlink r:id="rId16">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Daily operational summaries and documentation reminders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Ascent Senior Living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Ascent is beginning to use Microsoft Copilot to provide daily summaries to community leaders, and it uses reminders about missing documentation to improve compliance and reduce administrative burden (</w:t>
            </w:r>
            <w:hyperlink r:id="rId17">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Data governance is a gating issue because Ascent said resident and staff data that could violate HIPAA cannot be uploaded to the platform (</w:t>
            </w:r>
            <w:hyperlink r:id="rId18">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Research, coding prototypes, and sales lead analysis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LCS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LCS uses Anthropic’s Claude for research and code-infrastructure prototypes, and its sales team uses Salesforce AI to analyze prospect profiles and score leads (</w:t>
            </w:r>
            <w:hyperlink r:id="rId19">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The same public account says LCS is still justifying ROI for Claude Code licenses and Salesforce expenses, and that automated meeting notes can muddy rather than clarify summaries (</w:t>
            </w:r>
            <w:hyperlink r:id="rId20">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Clinical-support chatbot and internal policy assistant</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Cypress Living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Cypress Living says ChatGPT-integrated chatbots such as HUGO offer fall-prevention interventions based on provided scenarios, and HealthTech Magazine reports that Cypress paired Microsoft Copilot’s generative-AI feature with retrieval-augmented generation to build chatbots for clinicians and staff (</w:t>
            </w:r>
            <w:hyperlink r:id="rId21">
              <w:r>
                <w:rPr>
                  <w:rFonts w:eastAsia="source sans 3" w:cs="source sans 3" w:ascii="source sans 3" w:hAnsi="source sans 3"/>
                  <w:color w:val="#000"/>
                  <w:sz w:val="17"/>
                  <w:u w:val="single"/>
                </w:rPr>
                <w:t xml:space="preserve">Cypress Living</w:t>
              </w:r>
            </w:hyperlink>
            <w:r>
              <w:rPr>
                <w:rFonts w:eastAsia="source sans 3" w:cs="source sans 3" w:ascii="source sans 3" w:hAnsi="source sans 3"/>
                <w:color w:val="000000"/>
                <w:sz w:val="17"/>
              </w:rPr>
              <w:t xml:space="preserve">, </w:t>
            </w:r>
            <w:hyperlink r:id="rId22">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This is one of the more concrete senior-care examples of an LLM supporting frontline clinical thinking, but it is positioned as augmentation rather than replacement of clinical judgment (</w:t>
            </w:r>
            <w:hyperlink r:id="rId23">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Staff workflow experimentation</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Givens Communities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HealthTech Magazine reported that Givens Communities rolled out an “AI piloteers” program encouraging staff to integrate generative AI tools, including a Microsoft Copilot chatbot, into workflows, with 60% of participants using AI weekly or daily in the first 90 days and 56% saying AI increased efficiency (</w:t>
            </w:r>
            <w:hyperlink r:id="rId24">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This is a practical adoption model: train willing internal champions, measure usage, and keep the focus on staff efficiency rather than replacing people (</w:t>
            </w:r>
            <w:hyperlink r:id="rId25">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Microsoft Copilot in administrative workflows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Juniper Communities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HealthTech Magazine reported that Juniper Communities has integrated AI into administrative workflows through Microsoft Teams and Copilot, and that Copilot is saving employees significant time in daily work (</w:t>
            </w:r>
            <w:hyperlink r:id="rId26">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This is an enterprise-productivity pattern rather than a senior-living-specific clinical AI product, so leaders should evaluate it like a broad office-productivity rollout with senior-care data protections (</w:t>
            </w:r>
            <w:hyperlink r:id="rId27">
              <w:r>
                <w:rPr>
                  <w:rFonts w:eastAsia="source sans 3" w:cs="source sans 3" w:ascii="source sans 3" w:hAnsi="source sans 3"/>
                  <w:color w:val="#000"/>
                  <w:sz w:val="17"/>
                  <w:u w:val="single"/>
                </w:rPr>
                <w:t xml:space="preserve">HealthTech Magazine</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Sales roleplay and next-best-action coaching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Heritage Communities and Discovery Senior Living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Heritage is rolling out and fine-tuning an AI roleplaying system that lets salespeople call a number and practice lead scenarios with an AI agent, while Discovery uses a CRM AI bot to suggest next steps and AI bots to support customized video follow-up (</w:t>
            </w:r>
            <w:hyperlink r:id="rId28">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Sales training and next-best-action tools are among the most visible senior-living GenAI uses because they are lower-risk than resident-care automation and can be tied to lead conversion, speed-to-lead, and tour metrics (</w:t>
            </w:r>
            <w:hyperlink r:id="rId29">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Sales call transcription, roleplay, and content brainstorming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Phoenix Senior Living</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Phoenix uses AI to roleplay sales scenarios, transcribe and share calls with prospects, and brainstorm social-media posts with generative AI (</w:t>
            </w:r>
            <w:hyperlink r:id="rId30">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Phoenix’s public caution is important: AI-generated images can feel “off,” and technology should not be implemented simply for its own sake (</w:t>
            </w:r>
            <w:hyperlink r:id="rId31">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AI-driven marketing content and search visibility</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Christian Living Communities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Christian Living Communities uses AI-driven content to make its website more resourceful and perform better in AI-overview search experiences (</w:t>
            </w:r>
            <w:hyperlink r:id="rId32">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Marketing use is already practical, but operators still need human review because trust, empathy, and transparency are core buying criteria in senior living (</w:t>
            </w:r>
            <w:hyperlink r:id="rId33">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w:t>
            </w:r>
          </w:p>
        </w:tc>
      </w:tr>
    </w:tbl>
    <w:p>
      <w:pPr>
        <w:spacing w:lineRule="auto"/>
      </w:pPr>
    </w:p>
    <w:p>
      <w:pPr>
        <w:spacing w:line="360" w:before="315" w:after="105" w:lineRule="auto"/>
        <w:ind w:left="-30"/>
        <w:jc w:val="left"/>
      </w:pPr>
      <w:bookmarkStart w:id="4" w:name="what_vendors_and_partners_are_enabling"/>
      <w:r>
        <w:rPr>
          <w:rFonts w:eastAsia="source serif 4" w:cs="source serif 4" w:ascii="source serif 4" w:hAnsi="source serif 4"/>
          <w:b/>
          <w:color w:val="000000"/>
          <w:sz w:val="24"/>
        </w:rPr>
        <w:t xml:space="preserve">What vendors and partners are enabling</w:t>
      </w:r>
      <w:bookmarkEnd w:id="4"/>
    </w:p>
    <w:p>
      <w:pPr>
        <w:spacing w:line="360" w:before="315" w:after="105" w:lineRule="auto"/>
        <w:ind w:left="-30"/>
        <w:jc w:val="left"/>
      </w:pPr>
      <w:bookmarkStart w:id="5" w:name="sales_marketing_and_crm"/>
      <w:r>
        <w:rPr>
          <w:rFonts w:eastAsia="source serif 4" w:cs="source serif 4" w:ascii="source serif 4" w:hAnsi="source serif 4"/>
          <w:b/>
          <w:color w:val="000000"/>
          <w:sz w:val="24"/>
        </w:rPr>
        <w:t xml:space="preserve">Sales, marketing, and CRM</w:t>
      </w:r>
      <w:bookmarkEnd w:id="5"/>
    </w:p>
    <w:p>
      <w:pPr>
        <w:spacing w:line="360" w:after="210" w:lineRule="auto"/>
      </w:pPr>
      <w:r>
        <w:rPr>
          <w:rFonts w:eastAsia="source serif 4" w:cs="source serif 4" w:ascii="source serif 4" w:hAnsi="source serif 4"/>
          <w:color w:val="000000"/>
        </w:rPr>
        <w:t xml:space="preserve">Aline Connect is a generally available AI-powered outbound agent inside Aline CRM that automatically follows up on digital inquiries, makes calls and texts, warm-transfers qualified prospects to sales counselors, and logs AI-generated summaries in the CRM (</w:t>
      </w:r>
      <w:hyperlink r:id="rId34">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 Aline reported early-access aggregate performance including a two-minute median time to first outreach, 62% overall lead connection rate, and 30% tour conversion rate for web-form inquiries, while also identifying Bridge Senior Living as one of the first operators to deploy Aline Connect across its portfolio (</w:t>
      </w:r>
      <w:hyperlink r:id="rId35">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Aline also describes Aline Intelligence as a system using generative AI, natural language processing, and machine learning to create data-driven action plans for senior living operators, and its broader 2026 announcement says AI-generated outputs such as drafted emails, care notes, and recommended actions require human review before being sent or recorded (</w:t>
      </w:r>
      <w:hyperlink r:id="rId36">
        <w:r>
          <w:rPr>
            <w:rFonts w:eastAsia="source sans 3" w:cs="source sans 3" w:ascii="source sans 3" w:hAnsi="source sans 3"/>
            <w:color w:val="#000"/>
            <w:u w:val="single"/>
          </w:rPr>
          <w:t xml:space="preserve">Aline</w:t>
        </w:r>
      </w:hyperlink>
      <w:r>
        <w:rPr>
          <w:rFonts w:eastAsia="source serif 4" w:cs="source serif 4" w:ascii="source serif 4" w:hAnsi="source serif 4"/>
          <w:color w:val="000000"/>
        </w:rPr>
        <w:t xml:space="preserve">, </w:t>
      </w:r>
      <w:hyperlink r:id="rId37">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 This human-review framing is a useful procurement requirement because it addresses the executive concern that AI should support staff judgment rather than bypass it (</w:t>
      </w:r>
      <w:hyperlink r:id="rId38">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Further’s SalesAI product line includes AI phone agents, AI SMS agents, and AI training/coaching agents for senior living sales teams, and Further says its phone agents answer questions, provide pricing and care-type information, schedule tours, and create CRM leads with recordings, transcripts, and AI summaries (</w:t>
      </w:r>
      <w:hyperlink r:id="rId39">
        <w:r>
          <w:rPr>
            <w:rFonts w:eastAsia="source sans 3" w:cs="source sans 3" w:ascii="source sans 3" w:hAnsi="source sans 3"/>
            <w:color w:val="#000"/>
            <w:u w:val="single"/>
          </w:rPr>
          <w:t xml:space="preserve">Further</w:t>
        </w:r>
      </w:hyperlink>
      <w:r>
        <w:rPr>
          <w:rFonts w:eastAsia="source serif 4" w:cs="source serif 4" w:ascii="source serif 4" w:hAnsi="source serif 4"/>
          <w:color w:val="000000"/>
        </w:rPr>
        <w:t xml:space="preserve">, </w:t>
      </w:r>
      <w:hyperlink r:id="rId40">
        <w:r>
          <w:rPr>
            <w:rFonts w:eastAsia="source sans 3" w:cs="source sans 3" w:ascii="source sans 3" w:hAnsi="source sans 3"/>
            <w:color w:val="#000"/>
            <w:u w:val="single"/>
          </w:rPr>
          <w:t xml:space="preserve">Further</w:t>
        </w:r>
      </w:hyperlink>
      <w:r>
        <w:rPr>
          <w:rFonts w:eastAsia="source serif 4" w:cs="source serif 4" w:ascii="source serif 4" w:hAnsi="source serif 4"/>
          <w:color w:val="000000"/>
        </w:rPr>
        <w:t xml:space="preserve">). Further identifies senior-living customers including Oxford Senior Living and Capri Senior Living on its AI Phone Agents page, but the performance claims on that page should be treated as vendor-reported until independently validated (</w:t>
      </w:r>
      <w:hyperlink r:id="rId41">
        <w:r>
          <w:rPr>
            <w:rFonts w:eastAsia="source sans 3" w:cs="source sans 3" w:ascii="source sans 3" w:hAnsi="source sans 3"/>
            <w:color w:val="#000"/>
            <w:u w:val="single"/>
          </w:rPr>
          <w:t xml:space="preserve">Further</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WelcomeHome and AidQuest announced an AI integration for senior-care engagement that provides 24/7 intelligent prospect responses, automated information gathering, and AI-triggered personalized follow-up in WelcomeHome’s CRM workflows (</w:t>
      </w:r>
      <w:hyperlink r:id="rId42">
        <w:r>
          <w:rPr>
            <w:rFonts w:eastAsia="source sans 3" w:cs="source sans 3" w:ascii="source sans 3" w:hAnsi="source sans 3"/>
            <w:color w:val="#000"/>
            <w:u w:val="single"/>
          </w:rPr>
          <w:t xml:space="preserve">WelcomeHome</w:t>
        </w:r>
      </w:hyperlink>
      <w:r>
        <w:rPr>
          <w:rFonts w:eastAsia="source serif 4" w:cs="source serif 4" w:ascii="source serif 4" w:hAnsi="source serif 4"/>
          <w:color w:val="000000"/>
        </w:rPr>
        <w:t xml:space="preserve">). The same announcement describes AidQuest as a human-powered live chat platform, so leaders should verify during procurement which interactions are human-handled, AI-assisted, or fully automated (</w:t>
      </w:r>
      <w:hyperlink r:id="rId43">
        <w:r>
          <w:rPr>
            <w:rFonts w:eastAsia="source sans 3" w:cs="source sans 3" w:ascii="source sans 3" w:hAnsi="source sans 3"/>
            <w:color w:val="#000"/>
            <w:u w:val="single"/>
          </w:rPr>
          <w:t xml:space="preserve">WelcomeHome</w:t>
        </w:r>
      </w:hyperlink>
      <w:r>
        <w:rPr>
          <w:rFonts w:eastAsia="source serif 4" w:cs="source serif 4" w:ascii="source serif 4" w:hAnsi="source serif 4"/>
          <w:color w:val="000000"/>
        </w:rPr>
        <w:t xml:space="preserve">).</w:t>
      </w:r>
    </w:p>
    <w:p>
      <w:pPr>
        <w:spacing w:line="360" w:before="315" w:after="105" w:lineRule="auto"/>
        <w:ind w:left="-30"/>
        <w:jc w:val="left"/>
      </w:pPr>
      <w:bookmarkStart w:id="6" w:name="resident_engagement_life_enrichme_79d8f3"/>
      <w:r>
        <w:rPr>
          <w:rFonts w:eastAsia="source serif 4" w:cs="source serif 4" w:ascii="source serif 4" w:hAnsi="source serif 4"/>
          <w:b/>
          <w:color w:val="000000"/>
          <w:sz w:val="24"/>
        </w:rPr>
        <w:t xml:space="preserve">Resident engagement, life enrichment, and companionship</w:t>
      </w:r>
      <w:bookmarkEnd w:id="6"/>
    </w:p>
    <w:p>
      <w:pPr>
        <w:spacing w:line="360" w:after="210" w:lineRule="auto"/>
      </w:pPr>
      <w:r>
        <w:rPr>
          <w:rFonts w:eastAsia="source serif 4" w:cs="source serif 4" w:ascii="source serif 4" w:hAnsi="source serif 4"/>
          <w:color w:val="000000"/>
        </w:rPr>
        <w:t xml:space="preserve">LifeLoop’s AI-enhanced Resident Onboarding uses generative AI and natural-language processing to process new-resident onboarding interviews and automatically generate resident biographies based on interests and preferences (</w:t>
      </w:r>
      <w:hyperlink r:id="rId44">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 LifeLoop says the biography workflow reduces manual data entry and biography-building time by 95%, and MorningStar Senior Living’s VP of Life Enrichment Services is quoted describing the tool as intuitive, efficient, and useful for personalization without losing the human touch (</w:t>
      </w:r>
      <w:hyperlink r:id="rId45">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LifeLoop’s AI-enhanced Content Recommendations use generative AI to surface relevant content from the iN2L engagement library for senior living activity planning, and LifeLoop says the solution spans independent living through memory care (</w:t>
      </w:r>
      <w:hyperlink r:id="rId46">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 LifeLoop’s announcement includes a New Perspective Senior Living quote about time savings and more personalized resident moments, and it lists Argentum sessions featuring Cogir Senior Living and New Perspective Senior Living in connection with LifeLoop implementation and AI-driven activity management (</w:t>
      </w:r>
      <w:hyperlink r:id="rId47">
        <w:r>
          <w:rPr>
            <w:rFonts w:eastAsia="source sans 3" w:cs="source sans 3" w:ascii="source sans 3" w:hAnsi="source sans 3"/>
            <w:color w:val="#000"/>
            <w:u w:val="single"/>
          </w:rPr>
          <w:t xml:space="preserve">LifeLoop</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ElliQ 3 is not a senior-living community deployment, but it is relevant adjacent evidence because it is a generative-AI companion for older adults distributed through aging-service and healthcare partners such as New York State Office for the Aging, Inclusa, and other agencies (</w:t>
      </w:r>
      <w:hyperlink r:id="rId48">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 Intuition Robotics says ElliQ 3 uses LLM technology for more natural conversations, memory and context, poem-writing, and AI-generated painting, and it says guardrails monitor and mediate conversations to avoid hallucinated or inappropriate responses (</w:t>
      </w:r>
      <w:hyperlink r:id="rId49">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w:t>
      </w:r>
    </w:p>
    <w:p>
      <w:pPr>
        <w:spacing w:line="360" w:before="315" w:after="105" w:lineRule="auto"/>
        <w:ind w:left="-30"/>
        <w:jc w:val="left"/>
      </w:pPr>
      <w:bookmarkStart w:id="7" w:name="staff_knowledge_assistants_and_en_1c3241"/>
      <w:r>
        <w:rPr>
          <w:rFonts w:eastAsia="source serif 4" w:cs="source serif 4" w:ascii="source serif 4" w:hAnsi="source serif 4"/>
          <w:b/>
          <w:color w:val="000000"/>
          <w:sz w:val="24"/>
        </w:rPr>
        <w:t xml:space="preserve">Staff knowledge assistants and enterprise data chat</w:t>
      </w:r>
      <w:bookmarkEnd w:id="7"/>
    </w:p>
    <w:p>
      <w:pPr>
        <w:spacing w:line="360" w:after="210" w:lineRule="auto"/>
      </w:pPr>
      <w:r>
        <w:rPr>
          <w:rFonts w:eastAsia="source serif 4" w:cs="source serif 4" w:ascii="source serif 4" w:hAnsi="source serif 4"/>
          <w:color w:val="000000"/>
        </w:rPr>
        <w:t xml:space="preserve">K4Connect and Pryon announced Staff Assistant powered by Pryon Answers for senior living caregivers, enabling staff to ask questions about policies, procedures, regulations, and best practices from operator-selected documents and links (</w:t>
      </w:r>
      <w:hyperlink r:id="rId50">
        <w:r>
          <w:rPr>
            <w:rFonts w:eastAsia="source sans 3" w:cs="source sans 3" w:ascii="source sans 3" w:hAnsi="source sans 3"/>
            <w:color w:val="#000"/>
            <w:u w:val="single"/>
          </w:rPr>
          <w:t xml:space="preserve">Age in Place Technology Watch</w:t>
        </w:r>
      </w:hyperlink>
      <w:r>
        <w:rPr>
          <w:rFonts w:eastAsia="source serif 4" w:cs="source serif 4" w:ascii="source serif 4" w:hAnsi="source serif 4"/>
          <w:color w:val="000000"/>
        </w:rPr>
        <w:t xml:space="preserve">). The K4Connect announcement said K4Connect served tens of thousands of residents and staff across more than 800 continuing care, independent living, assisted living, and memory care communities, making this an early senior-living-specific knowledge-assistant example even though the 2020 release predates the current ChatGPT wave (</w:t>
      </w:r>
      <w:hyperlink r:id="rId51">
        <w:r>
          <w:rPr>
            <w:rFonts w:eastAsia="source sans 3" w:cs="source sans 3" w:ascii="source sans 3" w:hAnsi="source sans 3"/>
            <w:color w:val="#000"/>
            <w:u w:val="single"/>
          </w:rPr>
          <w:t xml:space="preserve">Age in Place Technology Watch</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Skypoint launched a generative-AI platform for senior living operators that it describes as “ChatGPT for all your senior living data,” combining financial, clinical, resident-engagement, operational, and unstructured data so users can ask questions, generate dashboards, and draft emails to communities (</w:t>
      </w:r>
      <w:hyperlink r:id="rId52">
        <w:r>
          <w:rPr>
            <w:rFonts w:eastAsia="source sans 3" w:cs="source sans 3" w:ascii="source sans 3" w:hAnsi="source sans 3"/>
            <w:color w:val="#000"/>
            <w:u w:val="single"/>
          </w:rPr>
          <w:t xml:space="preserve">Skypoint</w:t>
        </w:r>
      </w:hyperlink>
      <w:r>
        <w:rPr>
          <w:rFonts w:eastAsia="source serif 4" w:cs="source serif 4" w:ascii="source serif 4" w:hAnsi="source serif 4"/>
          <w:color w:val="000000"/>
        </w:rPr>
        <w:t xml:space="preserve">). Skypoint says the platform uses OpenAI’s GPT-4 and an industry-specific LLM trained for senior living, and it positions the product as HIPAA- and SOC 2 Type 2-aligned for care-provider workflows (</w:t>
      </w:r>
      <w:hyperlink r:id="rId53">
        <w:r>
          <w:rPr>
            <w:rFonts w:eastAsia="source sans 3" w:cs="source sans 3" w:ascii="source sans 3" w:hAnsi="source sans 3"/>
            <w:color w:val="#000"/>
            <w:u w:val="single"/>
          </w:rPr>
          <w:t xml:space="preserve">Skypoint</w:t>
        </w:r>
      </w:hyperlink>
      <w:r>
        <w:rPr>
          <w:rFonts w:eastAsia="source serif 4" w:cs="source serif 4" w:ascii="source serif 4" w:hAnsi="source serif 4"/>
          <w:color w:val="000000"/>
        </w:rPr>
        <w:t xml:space="preserve">).</w:t>
      </w:r>
    </w:p>
    <w:p>
      <w:pPr>
        <w:spacing w:line="360" w:before="315" w:after="105" w:lineRule="auto"/>
        <w:ind w:left="-30"/>
        <w:jc w:val="left"/>
      </w:pPr>
      <w:bookmarkStart w:id="8" w:name="clinical_documentation_and_care_support"/>
      <w:r>
        <w:rPr>
          <w:rFonts w:eastAsia="source serif 4" w:cs="source serif 4" w:ascii="source serif 4" w:hAnsi="source serif 4"/>
          <w:b/>
          <w:color w:val="000000"/>
          <w:sz w:val="24"/>
        </w:rPr>
        <w:t xml:space="preserve">Clinical documentation and care support</w:t>
      </w:r>
      <w:bookmarkEnd w:id="8"/>
    </w:p>
    <w:p>
      <w:pPr>
        <w:spacing w:line="360" w:after="210" w:lineRule="auto"/>
      </w:pPr>
      <w:r>
        <w:rPr>
          <w:rFonts w:eastAsia="source serif 4" w:cs="source serif 4" w:ascii="source serif 4" w:hAnsi="source serif 4"/>
          <w:color w:val="000000"/>
        </w:rPr>
        <w:t xml:space="preserve">Netsmart’s myUnity NX announcement for LeadingAge 2024 described an EHR platform for post-acute care that includes assisted living, independent living, CCRCs, skilled nursing, home and community-based services, integrated AI, and Bells as a clinical documentation and ambient listening solution (</w:t>
      </w:r>
      <w:hyperlink r:id="rId54">
        <w:r>
          <w:rPr>
            <w:rFonts w:eastAsia="source sans 3" w:cs="source sans 3" w:ascii="source sans 3" w:hAnsi="source sans 3"/>
            <w:color w:val="#000"/>
            <w:u w:val="single"/>
          </w:rPr>
          <w:t xml:space="preserve">Business Wire</w:t>
        </w:r>
      </w:hyperlink>
      <w:r>
        <w:rPr>
          <w:rFonts w:eastAsia="source serif 4" w:cs="source serif 4" w:ascii="source serif 4" w:hAnsi="source serif 4"/>
          <w:color w:val="000000"/>
        </w:rPr>
        <w:t xml:space="preserve">). Netsmart’s Bells product page describes ambient AI that captures client-provider conversations and transforms them into transcripts, clinical summaries, and progress notes, which is directly relevant to senior-living-adjacent documentation burden even though the page is framed broadly across behavioral health, human services, and post-acute care (</w:t>
      </w:r>
      <w:hyperlink r:id="rId55">
        <w:r>
          <w:rPr>
            <w:rFonts w:eastAsia="source sans 3" w:cs="source sans 3" w:ascii="source sans 3" w:hAnsi="source sans 3"/>
            <w:color w:val="#000"/>
            <w:u w:val="single"/>
          </w:rPr>
          <w:t xml:space="preserve">Netsmart</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PointClickCare’s Chart Advisor expansion to senior living is publicly described as AI-powered documentation support that identifies high-risk situations and documentation gaps inside the PointClickCare environment, but the source does not explicitly describe LLM-generated text or generative AI for this product (</w:t>
      </w:r>
      <w:hyperlink r:id="rId56">
        <w:r>
          <w:rPr>
            <w:rFonts w:eastAsia="source sans 3" w:cs="source sans 3" w:ascii="source sans 3" w:hAnsi="source sans 3"/>
            <w:color w:val="#000"/>
            <w:u w:val="single"/>
          </w:rPr>
          <w:t xml:space="preserve">PointClickCare</w:t>
        </w:r>
      </w:hyperlink>
      <w:r>
        <w:rPr>
          <w:rFonts w:eastAsia="source serif 4" w:cs="source serif 4" w:ascii="source serif 4" w:hAnsi="source serif 4"/>
          <w:color w:val="000000"/>
        </w:rPr>
        <w:t xml:space="preserve">). For a generative-AI-focused roadmap, Chart Advisor should be treated as adjacent AI documentation infrastructure unless PointClickCare provides operator-specific evidence of generated notes, natural-language summarization, or LLM outputs (</w:t>
      </w:r>
      <w:hyperlink r:id="rId57">
        <w:r>
          <w:rPr>
            <w:rFonts w:eastAsia="source sans 3" w:cs="source sans 3" w:ascii="source sans 3" w:hAnsi="source sans 3"/>
            <w:color w:val="#000"/>
            <w:u w:val="single"/>
          </w:rPr>
          <w:t xml:space="preserve">PointClickCare</w:t>
        </w:r>
      </w:hyperlink>
      <w:r>
        <w:rPr>
          <w:rFonts w:eastAsia="source serif 4" w:cs="source serif 4" w:ascii="source serif 4" w:hAnsi="source serif 4"/>
          <w:color w:val="000000"/>
        </w:rPr>
        <w:t xml:space="preserve">).</w:t>
      </w:r>
    </w:p>
    <w:p>
      <w:pPr>
        <w:spacing w:line="360" w:before="315" w:after="105" w:lineRule="auto"/>
        <w:ind w:left="-30"/>
        <w:jc w:val="left"/>
      </w:pPr>
      <w:bookmarkStart w:id="9" w:name="adjacent_healthcare_proof_points_f709ee"/>
      <w:r>
        <w:rPr>
          <w:rFonts w:eastAsia="source serif 4" w:cs="source serif 4" w:ascii="source serif 4" w:hAnsi="source serif 4"/>
          <w:b/>
          <w:color w:val="000000"/>
          <w:sz w:val="24"/>
        </w:rPr>
        <w:t xml:space="preserve">Adjacent-healthcare proof points, clearly labeled</w:t>
      </w:r>
      <w:bookmarkEnd w:id="9"/>
    </w:p>
    <w:p>
      <w:pPr>
        <w:spacing w:line="360" w:after="210" w:lineRule="auto"/>
      </w:pPr>
      <w:r>
        <w:rPr>
          <w:rFonts w:eastAsia="source serif 4" w:cs="source serif 4" w:ascii="source serif 4" w:hAnsi="source serif 4"/>
          <w:color w:val="000000"/>
        </w:rPr>
        <w:t xml:space="preserve">HCA Healthcare and Google Cloud provide one of the most concrete adjacent examples because HCA’s Nurse Handoff app uses Google generative AI models to ingest, analyze, and produce concise patient-handoff information for nurses, with a pilot in five HCA hospitals and plans for a version to roll out to 99,000 nurses if successful (</w:t>
      </w:r>
      <w:hyperlink r:id="rId58">
        <w:r>
          <w:rPr>
            <w:rFonts w:eastAsia="source sans 3" w:cs="source sans 3" w:ascii="source sans 3" w:hAnsi="source sans 3"/>
            <w:color w:val="#000"/>
            <w:u w:val="single"/>
          </w:rPr>
          <w:t xml:space="preserve">Google Blog</w:t>
        </w:r>
      </w:hyperlink>
      <w:r>
        <w:rPr>
          <w:rFonts w:eastAsia="source serif 4" w:cs="source serif 4" w:ascii="source serif 4" w:hAnsi="source serif 4"/>
          <w:color w:val="000000"/>
        </w:rPr>
        <w:t xml:space="preserve">). Google reported that nurses testing Nurse Handoff at one HCA facility rated it 86% factual and 90% helpful, which is a useful benchmark for senior living executives thinking about AI-generated summaries in regulated care workflows (</w:t>
      </w:r>
      <w:hyperlink r:id="rId59">
        <w:r>
          <w:rPr>
            <w:rFonts w:eastAsia="source sans 3" w:cs="source sans 3" w:ascii="source sans 3" w:hAnsi="source sans 3"/>
            <w:color w:val="#000"/>
            <w:u w:val="single"/>
          </w:rPr>
          <w:t xml:space="preserve">Google Blog</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Netsmart’s Bells suite is adjacent evidence for post-acute and geriatric-care organizations because it claims automated therapy notes, ambient listening, EHR-integrated documentation, auto-generated transcripts, clinical summaries, and progress notes (</w:t>
      </w:r>
      <w:hyperlink r:id="rId60">
        <w:r>
          <w:rPr>
            <w:rFonts w:eastAsia="source sans 3" w:cs="source sans 3" w:ascii="source sans 3" w:hAnsi="source sans 3"/>
            <w:color w:val="#000"/>
            <w:u w:val="single"/>
          </w:rPr>
          <w:t xml:space="preserve">Netsmart</w:t>
        </w:r>
      </w:hyperlink>
      <w:r>
        <w:rPr>
          <w:rFonts w:eastAsia="source serif 4" w:cs="source serif 4" w:ascii="source serif 4" w:hAnsi="source serif 4"/>
          <w:color w:val="000000"/>
        </w:rPr>
        <w:t xml:space="preserve">). The most transferable lesson is that ambient documentation should be evaluated as a full workflow with consent, audio review, supervisor dashboards, and compliance validations, not just as a note generator (</w:t>
      </w:r>
      <w:hyperlink r:id="rId61">
        <w:r>
          <w:rPr>
            <w:rFonts w:eastAsia="source sans 3" w:cs="source sans 3" w:ascii="source sans 3" w:hAnsi="source sans 3"/>
            <w:color w:val="#000"/>
            <w:u w:val="single"/>
          </w:rPr>
          <w:t xml:space="preserve">Netsmart</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Skilled-nursing documentation vendors are also moving toward AI documentation tools, and Twofold’s 2026 SNF comparison describes SNF note-generation needs such as progress notes, admissions, readmissions, chronic-condition follow-ups, transition-of-care summaries, and care-plan updates (</w:t>
      </w:r>
      <w:hyperlink r:id="rId62">
        <w:r>
          <w:rPr>
            <w:rFonts w:eastAsia="source sans 3" w:cs="source sans 3" w:ascii="source sans 3" w:hAnsi="source sans 3"/>
            <w:color w:val="#000"/>
            <w:u w:val="single"/>
          </w:rPr>
          <w:t xml:space="preserve">Twofold Health</w:t>
        </w:r>
      </w:hyperlink>
      <w:r>
        <w:rPr>
          <w:rFonts w:eastAsia="source serif 4" w:cs="source serif 4" w:ascii="source serif 4" w:hAnsi="source serif 4"/>
          <w:color w:val="000000"/>
        </w:rPr>
        <w:t xml:space="preserve">). This evidence is adjacent because skilled nursing is more clinical and regulated than independent or assisted living, but it shows where documentation automation may go as acuity rises in senior housing (</w:t>
      </w:r>
      <w:hyperlink r:id="rId63">
        <w:r>
          <w:rPr>
            <w:rFonts w:eastAsia="source sans 3" w:cs="source sans 3" w:ascii="source sans 3" w:hAnsi="source sans 3"/>
            <w:color w:val="#000"/>
            <w:u w:val="single"/>
          </w:rPr>
          <w:t xml:space="preserve">Twofold Health</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Rememo is an adjacent memory-care and dementia-care research proof point because it used generative image models to personalize visual memory triggers for reminiscence therapy, and the field study involved five care staff, two private nursing homes in Singapore, 21 residents, and 151 generated images (</w:t>
      </w:r>
      <w:hyperlink r:id="rId64">
        <w:r>
          <w:rPr>
            <w:rFonts w:eastAsia="source sans 3" w:cs="source sans 3" w:ascii="source sans 3" w:hAnsi="source sans 3"/>
            <w:color w:val="#000"/>
            <w:u w:val="single"/>
          </w:rPr>
          <w:t xml:space="preserve">arXiv</w:t>
        </w:r>
      </w:hyperlink>
      <w:r>
        <w:rPr>
          <w:rFonts w:eastAsia="source serif 4" w:cs="source serif 4" w:ascii="source serif 4" w:hAnsi="source serif 4"/>
          <w:color w:val="000000"/>
        </w:rPr>
        <w:t xml:space="preserve">). The study found that Rememo eased session preparation and helped bridge communication barriers, while also surfacing friction such as image-generation latency and the need to adapt to individual resident profiles (</w:t>
      </w:r>
      <w:hyperlink r:id="rId65">
        <w:r>
          <w:rPr>
            <w:rFonts w:eastAsia="source sans 3" w:cs="source sans 3" w:ascii="source sans 3" w:hAnsi="source sans 3"/>
            <w:color w:val="#000"/>
            <w:u w:val="single"/>
          </w:rPr>
          <w:t xml:space="preserve">arXiv</w:t>
        </w:r>
      </w:hyperlink>
      <w:r>
        <w:rPr>
          <w:rFonts w:eastAsia="source serif 4" w:cs="source serif 4" w:ascii="source serif 4" w:hAnsi="source serif 4"/>
          <w:color w:val="000000"/>
        </w:rPr>
        <w:t xml:space="preserve">).</w:t>
      </w:r>
    </w:p>
    <w:p>
      <w:pPr>
        <w:spacing w:line="360" w:before="315" w:after="105" w:lineRule="auto"/>
        <w:ind w:left="-30"/>
        <w:jc w:val="left"/>
      </w:pPr>
      <w:bookmarkStart w:id="10" w:name="notable_failures_walk_backs_and_cautions"/>
      <w:r>
        <w:rPr>
          <w:rFonts w:eastAsia="source serif 4" w:cs="source serif 4" w:ascii="source serif 4" w:hAnsi="source serif 4"/>
          <w:b/>
          <w:color w:val="000000"/>
          <w:sz w:val="24"/>
        </w:rPr>
        <w:t xml:space="preserve">Notable failures, walk-backs, and cautions</w:t>
      </w:r>
      <w:bookmarkEnd w:id="10"/>
    </w:p>
    <w:p>
      <w:pPr>
        <w:spacing w:line="360" w:after="210" w:lineRule="auto"/>
      </w:pPr>
      <w:r>
        <w:rPr>
          <w:rFonts w:eastAsia="source serif 4" w:cs="source serif 4" w:ascii="source serif 4" w:hAnsi="source serif 4"/>
          <w:color w:val="000000"/>
        </w:rPr>
        <w:t xml:space="preserve">The most important senior-living-specific caution is that adoption is already producing uneven results: Senior Housing News reported Anthem hallucinations, LCS problems with poor meeting notes and AI “slop,” Ascent’s HIPAA limits on uploading resident and staff data, and ongoing ROI justification for LCS’s Claude Code and Salesforce expenses (</w:t>
      </w:r>
      <w:hyperlink r:id="rId66">
        <w:r>
          <w:rPr>
            <w:rFonts w:eastAsia="source sans 3" w:cs="source sans 3" w:ascii="source sans 3" w:hAnsi="source sans 3"/>
            <w:color w:val="#000"/>
            <w:u w:val="single"/>
          </w:rPr>
          <w:t xml:space="preserve">Senior Housing News</w:t>
        </w:r>
      </w:hyperlink>
      <w:r>
        <w:rPr>
          <w:rFonts w:eastAsia="source serif 4" w:cs="source serif 4" w:ascii="source serif 4" w:hAnsi="source serif 4"/>
          <w:color w:val="000000"/>
        </w:rPr>
        <w:t xml:space="preserve">). The executive implication is that AI governance is not optional once tools move beyond individual experimentation into sales, clinical, legal, and operational workflows (</w:t>
      </w:r>
      <w:hyperlink r:id="rId67">
        <w:r>
          <w:rPr>
            <w:rFonts w:eastAsia="source sans 3" w:cs="source sans 3" w:ascii="source sans 3" w:hAnsi="source sans 3"/>
            <w:color w:val="#000"/>
            <w:u w:val="single"/>
          </w:rPr>
          <w:t xml:space="preserve">Senior Housing News</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The clearest adjacent-healthcare failure is NEDA’s Tessa chatbot, which NPR reported was taken down after it gave weight-loss advice including calorie targets and calorie-deficit guidance to a user with an eating-disorder history (</w:t>
      </w:r>
      <w:hyperlink r:id="rId68">
        <w:r>
          <w:rPr>
            <w:rFonts w:eastAsia="source sans 3" w:cs="source sans 3" w:ascii="source sans 3" w:hAnsi="source sans 3"/>
            <w:color w:val="#000"/>
            <w:u w:val="single"/>
          </w:rPr>
          <w:t xml:space="preserve">NPR</w:t>
        </w:r>
      </w:hyperlink>
      <w:r>
        <w:rPr>
          <w:rFonts w:eastAsia="source serif 4" w:cs="source serif 4" w:ascii="source serif 4" w:hAnsi="source serif 4"/>
          <w:color w:val="000000"/>
        </w:rPr>
        <w:t xml:space="preserve">). NPR also reported that the original rule-based version had prewritten responses, while a later “enhanced question and answer” feature used generative AI that could create new responses, showing why scope control and change management matter for any vulnerable population (</w:t>
      </w:r>
      <w:hyperlink r:id="rId69">
        <w:r>
          <w:rPr>
            <w:rFonts w:eastAsia="source sans 3" w:cs="source sans 3" w:ascii="source sans 3" w:hAnsi="source sans 3"/>
            <w:color w:val="#000"/>
            <w:u w:val="single"/>
          </w:rPr>
          <w:t xml:space="preserve">NPR</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McKnight’s Senior Living highlighted risks in using ChatGPT for senior living and healthcare, including missing human nuance, potential errors in treatment recommendations for complex medical conditions, dependence on the quality of input information, and HIPAA-related limits on access to patient records (</w:t>
      </w:r>
      <w:hyperlink r:id="rId70">
        <w:r>
          <w:rPr>
            <w:rFonts w:eastAsia="source sans 3" w:cs="source sans 3" w:ascii="source sans 3" w:hAnsi="source sans 3"/>
            <w:color w:val="#000"/>
            <w:u w:val="single"/>
          </w:rPr>
          <w:t xml:space="preserve">McKnight’s Senior Living</w:t>
        </w:r>
      </w:hyperlink>
      <w:r>
        <w:rPr>
          <w:rFonts w:eastAsia="source serif 4" w:cs="source serif 4" w:ascii="source serif 4" w:hAnsi="source serif 4"/>
          <w:color w:val="000000"/>
        </w:rPr>
        <w:t xml:space="preserve">). These are practical constraints for senior living because resident acuity, family expectations, and liability exposure are rising even when communities are not licensed as hospitals or skilled nursing facilities (</w:t>
      </w:r>
      <w:hyperlink r:id="rId71">
        <w:r>
          <w:rPr>
            <w:rFonts w:eastAsia="source sans 3" w:cs="source sans 3" w:ascii="source sans 3" w:hAnsi="source sans 3"/>
            <w:color w:val="#000"/>
            <w:u w:val="single"/>
          </w:rPr>
          <w:t xml:space="preserve">McKnight’s Senior Living</w:t>
        </w:r>
      </w:hyperlink>
      <w:r>
        <w:rPr>
          <w:rFonts w:eastAsia="source serif 4" w:cs="source serif 4" w:ascii="source serif 4" w:hAnsi="source serif 4"/>
          <w:color w:val="000000"/>
        </w:rPr>
        <w:t xml:space="preserve">).</w:t>
      </w:r>
    </w:p>
    <w:p>
      <w:pPr>
        <w:spacing w:line="360" w:after="210" w:lineRule="auto"/>
      </w:pPr>
      <w:r>
        <w:rPr>
          <w:rFonts w:eastAsia="source serif 4" w:cs="source serif 4" w:ascii="source serif 4" w:hAnsi="source serif 4"/>
          <w:color w:val="000000"/>
        </w:rPr>
        <w:t xml:space="preserve">Marketing use has its own caution: Phoenix Senior Living’s marketing leader warned that prospects can tell when AI-generated images feel “off,” and Senior Housing News emphasized that AI cannot replace the human relationship, empathy, trust, and transparency that senior living prospects expect (</w:t>
      </w:r>
      <w:hyperlink r:id="rId72">
        <w:r>
          <w:rPr>
            <w:rFonts w:eastAsia="source sans 3" w:cs="source sans 3" w:ascii="source sans 3" w:hAnsi="source sans 3"/>
            <w:color w:val="#000"/>
            <w:u w:val="single"/>
          </w:rPr>
          <w:t xml:space="preserve">Senior Housing News</w:t>
        </w:r>
      </w:hyperlink>
      <w:r>
        <w:rPr>
          <w:rFonts w:eastAsia="source serif 4" w:cs="source serif 4" w:ascii="source serif 4" w:hAnsi="source serif 4"/>
          <w:color w:val="000000"/>
        </w:rPr>
        <w:t xml:space="preserve">). Resident-facing companion tools also require explicit guardrails because Intuition Robotics says ElliQ 3 monitors and mediates conversations in real time to avoid hallucinated or inappropriate responses (</w:t>
      </w:r>
      <w:hyperlink r:id="rId73">
        <w:r>
          <w:rPr>
            <w:rFonts w:eastAsia="source sans 3" w:cs="source sans 3" w:ascii="source sans 3" w:hAnsi="source sans 3"/>
            <w:color w:val="#000"/>
            <w:u w:val="single"/>
          </w:rPr>
          <w:t xml:space="preserve">PR Newswire</w:t>
        </w:r>
      </w:hyperlink>
      <w:r>
        <w:rPr>
          <w:rFonts w:eastAsia="source serif 4" w:cs="source serif 4" w:ascii="source serif 4" w:hAnsi="source serif 4"/>
          <w:color w:val="000000"/>
        </w:rPr>
        <w:t xml:space="preserve">).</w:t>
      </w:r>
    </w:p>
    <w:p>
      <w:pPr>
        <w:spacing w:line="360" w:before="315" w:after="105" w:lineRule="auto"/>
        <w:ind w:left="-30"/>
        <w:jc w:val="left"/>
      </w:pPr>
      <w:bookmarkStart w:id="11" w:name="takeaways_for_senior_living_executives"/>
      <w:r>
        <w:rPr>
          <w:rFonts w:eastAsia="source serif 4" w:cs="source serif 4" w:ascii="source serif 4" w:hAnsi="source serif 4"/>
          <w:b/>
          <w:color w:val="000000"/>
          <w:sz w:val="24"/>
        </w:rPr>
        <w:t xml:space="preserve">Takeaways for senior living executives</w:t>
      </w:r>
      <w:bookmarkEnd w:id="11"/>
    </w:p>
    <w:p>
      <w:pPr>
        <w:numPr>
          <w:ilvl w:val="0"/>
          <w:numId w:val="1"/>
        </w:numPr>
        <w:spacing w:line="360" w:after="210" w:lineRule="auto"/>
      </w:pPr>
      <w:r>
        <w:rPr>
          <w:rFonts w:eastAsia="source serif 4" w:cs="source serif 4" w:ascii="source serif 4" w:hAnsi="source serif 4"/>
          <w:b/>
          <w:color w:val="000000"/>
          <w:sz w:val="21"/>
        </w:rPr>
        <w:t xml:space="preserve">Start where evidence is strongest: sales response, call summaries, staff copilots, internal knowledge assistants, content drafting, and resident-engagement personalization.</w:t>
      </w:r>
      <w:r>
        <w:rPr>
          <w:rFonts w:eastAsia="source serif 4" w:cs="source serif 4" w:ascii="source serif 4" w:hAnsi="source serif 4"/>
          <w:color w:val="000000"/>
          <w:sz w:val="21"/>
        </w:rPr>
        <w:t xml:space="preserve"> These use cases are publicly documented across operators and vendors including Anthem, Ascent, LCS, Aline, Further, LifeLoop, Cypress Living, Juniper, Givens, Heritage, Discovery, Phoenix, and Christian Living Communities (</w:t>
      </w:r>
      <w:hyperlink r:id="rId74">
        <w:r>
          <w:rPr>
            <w:rFonts w:eastAsia="source sans 3" w:cs="source sans 3" w:ascii="source sans 3" w:hAnsi="source sans 3"/>
            <w:color w:val="#000"/>
            <w:sz w:val="21"/>
            <w:u w:val="single"/>
          </w:rPr>
          <w:t xml:space="preserve">Senior Housing News</w:t>
        </w:r>
      </w:hyperlink>
      <w:r>
        <w:rPr>
          <w:rFonts w:eastAsia="source serif 4" w:cs="source serif 4" w:ascii="source serif 4" w:hAnsi="source serif 4"/>
          <w:color w:val="000000"/>
          <w:sz w:val="21"/>
        </w:rPr>
        <w:t xml:space="preserve">, </w:t>
      </w:r>
      <w:hyperlink r:id="rId75">
        <w:r>
          <w:rPr>
            <w:rFonts w:eastAsia="source sans 3" w:cs="source sans 3" w:ascii="source sans 3" w:hAnsi="source sans 3"/>
            <w:color w:val="#000"/>
            <w:sz w:val="21"/>
            <w:u w:val="single"/>
          </w:rPr>
          <w:t xml:space="preserve">PR Newswire</w:t>
        </w:r>
      </w:hyperlink>
      <w:r>
        <w:rPr>
          <w:rFonts w:eastAsia="source serif 4" w:cs="source serif 4" w:ascii="source serif 4" w:hAnsi="source serif 4"/>
          <w:color w:val="000000"/>
          <w:sz w:val="21"/>
        </w:rPr>
        <w:t xml:space="preserve">, </w:t>
      </w:r>
      <w:hyperlink r:id="rId76">
        <w:r>
          <w:rPr>
            <w:rFonts w:eastAsia="source sans 3" w:cs="source sans 3" w:ascii="source sans 3" w:hAnsi="source sans 3"/>
            <w:color w:val="#000"/>
            <w:sz w:val="21"/>
            <w:u w:val="single"/>
          </w:rPr>
          <w:t xml:space="preserve">LifeLoop</w:t>
        </w:r>
      </w:hyperlink>
      <w:r>
        <w:rPr>
          <w:rFonts w:eastAsia="source serif 4" w:cs="source serif 4" w:ascii="source serif 4" w:hAnsi="source serif 4"/>
          <w:color w:val="000000"/>
          <w:sz w:val="21"/>
        </w:rPr>
        <w:t xml:space="preserve">, </w:t>
      </w:r>
      <w:hyperlink r:id="rId77">
        <w:r>
          <w:rPr>
            <w:rFonts w:eastAsia="source sans 3" w:cs="source sans 3" w:ascii="source sans 3" w:hAnsi="source sans 3"/>
            <w:color w:val="#000"/>
            <w:sz w:val="21"/>
            <w:u w:val="single"/>
          </w:rPr>
          <w:t xml:space="preserve">HealthTech Magazine</w:t>
        </w:r>
      </w:hyperlink>
      <w:r>
        <w:rPr>
          <w:rFonts w:eastAsia="source serif 4" w:cs="source serif 4" w:ascii="source serif 4" w:hAnsi="source serif 4"/>
          <w:color w:val="000000"/>
          <w:sz w:val="21"/>
        </w:rPr>
        <w:t xml:space="preserve">).</w:t>
      </w:r>
    </w:p>
    <w:p>
      <w:pPr>
        <w:numPr>
          <w:ilvl w:val="0"/>
          <w:numId w:val="1"/>
        </w:numPr>
        <w:spacing w:line="360" w:after="210" w:lineRule="auto"/>
      </w:pPr>
      <w:r>
        <w:rPr>
          <w:rFonts w:eastAsia="source serif 4" w:cs="source serif 4" w:ascii="source serif 4" w:hAnsi="source serif 4"/>
          <w:b/>
          <w:color w:val="000000"/>
          <w:sz w:val="21"/>
        </w:rPr>
        <w:t xml:space="preserve">Treat clinical GenAI as decision support, not automation.</w:t>
      </w:r>
      <w:r>
        <w:rPr>
          <w:rFonts w:eastAsia="source serif 4" w:cs="source serif 4" w:ascii="source serif 4" w:hAnsi="source serif 4"/>
          <w:color w:val="000000"/>
          <w:sz w:val="21"/>
        </w:rPr>
        <w:t xml:space="preserve"> Cypress Living’s HUGO and RAG chatbots are framed as augmenting staff thinking and finding information, while McKnight’s Senior Living and Senior Housing News document hallucination, nuance, HIPAA, and liability concerns that argue for human review and constrained data access (</w:t>
      </w:r>
      <w:hyperlink r:id="rId78">
        <w:r>
          <w:rPr>
            <w:rFonts w:eastAsia="source sans 3" w:cs="source sans 3" w:ascii="source sans 3" w:hAnsi="source sans 3"/>
            <w:color w:val="#000"/>
            <w:sz w:val="21"/>
            <w:u w:val="single"/>
          </w:rPr>
          <w:t xml:space="preserve">HealthTech Magazine</w:t>
        </w:r>
      </w:hyperlink>
      <w:r>
        <w:rPr>
          <w:rFonts w:eastAsia="source serif 4" w:cs="source serif 4" w:ascii="source serif 4" w:hAnsi="source serif 4"/>
          <w:color w:val="000000"/>
          <w:sz w:val="21"/>
        </w:rPr>
        <w:t xml:space="preserve">, </w:t>
      </w:r>
      <w:hyperlink r:id="rId79">
        <w:r>
          <w:rPr>
            <w:rFonts w:eastAsia="source sans 3" w:cs="source sans 3" w:ascii="source sans 3" w:hAnsi="source sans 3"/>
            <w:color w:val="#000"/>
            <w:sz w:val="21"/>
            <w:u w:val="single"/>
          </w:rPr>
          <w:t xml:space="preserve">McKnight’s Senior Living</w:t>
        </w:r>
      </w:hyperlink>
      <w:r>
        <w:rPr>
          <w:rFonts w:eastAsia="source serif 4" w:cs="source serif 4" w:ascii="source serif 4" w:hAnsi="source serif 4"/>
          <w:color w:val="000000"/>
          <w:sz w:val="21"/>
        </w:rPr>
        <w:t xml:space="preserve">, </w:t>
      </w:r>
      <w:hyperlink r:id="rId80">
        <w:r>
          <w:rPr>
            <w:rFonts w:eastAsia="source sans 3" w:cs="source sans 3" w:ascii="source sans 3" w:hAnsi="source sans 3"/>
            <w:color w:val="#000"/>
            <w:sz w:val="21"/>
            <w:u w:val="single"/>
          </w:rPr>
          <w:t xml:space="preserve">Senior Housing News</w:t>
        </w:r>
      </w:hyperlink>
      <w:r>
        <w:rPr>
          <w:rFonts w:eastAsia="source serif 4" w:cs="source serif 4" w:ascii="source serif 4" w:hAnsi="source serif 4"/>
          <w:color w:val="000000"/>
          <w:sz w:val="21"/>
        </w:rPr>
        <w:t xml:space="preserve">).</w:t>
      </w:r>
    </w:p>
    <w:p>
      <w:pPr>
        <w:numPr>
          <w:ilvl w:val="0"/>
          <w:numId w:val="1"/>
        </w:numPr>
        <w:spacing w:line="360" w:after="210" w:lineRule="auto"/>
      </w:pPr>
      <w:r>
        <w:rPr>
          <w:rFonts w:eastAsia="source serif 4" w:cs="source serif 4" w:ascii="source serif 4" w:hAnsi="source serif 4"/>
          <w:b/>
          <w:color w:val="000000"/>
          <w:sz w:val="21"/>
        </w:rPr>
        <w:t xml:space="preserve">Build a procurement checklist around human review, data boundaries, auditability, and model-change controls.</w:t>
      </w:r>
      <w:r>
        <w:rPr>
          <w:rFonts w:eastAsia="source serif 4" w:cs="source serif 4" w:ascii="source serif 4" w:hAnsi="source serif 4"/>
          <w:color w:val="000000"/>
          <w:sz w:val="21"/>
        </w:rPr>
        <w:t xml:space="preserve"> Aline states that AI-generated emails, care notes, and recommended actions require human review before being sent or recorded, Ascent restricts HIPAA-sensitive data uploads, and the NEDA Tessa failure shows why unapproved generative-response changes can create safety risk (</w:t>
      </w:r>
      <w:hyperlink r:id="rId81">
        <w:r>
          <w:rPr>
            <w:rFonts w:eastAsia="source sans 3" w:cs="source sans 3" w:ascii="source sans 3" w:hAnsi="source sans 3"/>
            <w:color w:val="#000"/>
            <w:sz w:val="21"/>
            <w:u w:val="single"/>
          </w:rPr>
          <w:t xml:space="preserve">PR Newswire</w:t>
        </w:r>
      </w:hyperlink>
      <w:r>
        <w:rPr>
          <w:rFonts w:eastAsia="source serif 4" w:cs="source serif 4" w:ascii="source serif 4" w:hAnsi="source serif 4"/>
          <w:color w:val="000000"/>
          <w:sz w:val="21"/>
        </w:rPr>
        <w:t xml:space="preserve">, </w:t>
      </w:r>
      <w:hyperlink r:id="rId82">
        <w:r>
          <w:rPr>
            <w:rFonts w:eastAsia="source sans 3" w:cs="source sans 3" w:ascii="source sans 3" w:hAnsi="source sans 3"/>
            <w:color w:val="#000"/>
            <w:sz w:val="21"/>
            <w:u w:val="single"/>
          </w:rPr>
          <w:t xml:space="preserve">Senior Housing News</w:t>
        </w:r>
      </w:hyperlink>
      <w:r>
        <w:rPr>
          <w:rFonts w:eastAsia="source serif 4" w:cs="source serif 4" w:ascii="source serif 4" w:hAnsi="source serif 4"/>
          <w:color w:val="000000"/>
          <w:sz w:val="21"/>
        </w:rPr>
        <w:t xml:space="preserve">, </w:t>
      </w:r>
      <w:hyperlink r:id="rId83">
        <w:r>
          <w:rPr>
            <w:rFonts w:eastAsia="source sans 3" w:cs="source sans 3" w:ascii="source sans 3" w:hAnsi="source sans 3"/>
            <w:color w:val="#000"/>
            <w:sz w:val="21"/>
            <w:u w:val="single"/>
          </w:rPr>
          <w:t xml:space="preserve">NPR</w:t>
        </w:r>
      </w:hyperlink>
      <w:r>
        <w:rPr>
          <w:rFonts w:eastAsia="source serif 4" w:cs="source serif 4" w:ascii="source serif 4" w:hAnsi="source serif 4"/>
          <w:color w:val="000000"/>
          <w:sz w:val="21"/>
        </w:rPr>
        <w:t xml:space="preserve">).</w:t>
      </w:r>
    </w:p>
    <w:p>
      <w:pPr>
        <w:numPr>
          <w:ilvl w:val="0"/>
          <w:numId w:val="1"/>
        </w:numPr>
        <w:spacing w:line="360" w:after="210" w:lineRule="auto"/>
      </w:pPr>
      <w:r>
        <w:rPr>
          <w:rFonts w:eastAsia="source serif 4" w:cs="source serif 4" w:ascii="source serif 4" w:hAnsi="source serif 4"/>
          <w:b/>
          <w:color w:val="000000"/>
          <w:sz w:val="21"/>
        </w:rPr>
        <w:t xml:space="preserve">Measure value in operating terms executives already use.</w:t>
      </w:r>
      <w:r>
        <w:rPr>
          <w:rFonts w:eastAsia="source serif 4" w:cs="source serif 4" w:ascii="source serif 4" w:hAnsi="source serif 4"/>
          <w:color w:val="000000"/>
          <w:sz w:val="21"/>
        </w:rPr>
        <w:t xml:space="preserve"> Public examples point to hours saved, speed-to-lead, call connection rates, tour conversion, documentation completeness, staff efficiency, and time spent on activity planning as more credible measures than abstract “AI adoption” metrics (</w:t>
      </w:r>
      <w:hyperlink r:id="rId84">
        <w:r>
          <w:rPr>
            <w:rFonts w:eastAsia="source sans 3" w:cs="source sans 3" w:ascii="source sans 3" w:hAnsi="source sans 3"/>
            <w:color w:val="#000"/>
            <w:sz w:val="21"/>
            <w:u w:val="single"/>
          </w:rPr>
          <w:t xml:space="preserve">Senior Housing News</w:t>
        </w:r>
      </w:hyperlink>
      <w:r>
        <w:rPr>
          <w:rFonts w:eastAsia="source serif 4" w:cs="source serif 4" w:ascii="source serif 4" w:hAnsi="source serif 4"/>
          <w:color w:val="000000"/>
          <w:sz w:val="21"/>
        </w:rPr>
        <w:t xml:space="preserve">, </w:t>
      </w:r>
      <w:hyperlink r:id="rId85">
        <w:r>
          <w:rPr>
            <w:rFonts w:eastAsia="source sans 3" w:cs="source sans 3" w:ascii="source sans 3" w:hAnsi="source sans 3"/>
            <w:color w:val="#000"/>
            <w:sz w:val="21"/>
            <w:u w:val="single"/>
          </w:rPr>
          <w:t xml:space="preserve">PR Newswire</w:t>
        </w:r>
      </w:hyperlink>
      <w:r>
        <w:rPr>
          <w:rFonts w:eastAsia="source serif 4" w:cs="source serif 4" w:ascii="source serif 4" w:hAnsi="source serif 4"/>
          <w:color w:val="000000"/>
          <w:sz w:val="21"/>
        </w:rPr>
        <w:t xml:space="preserve">, </w:t>
      </w:r>
      <w:hyperlink r:id="rId86">
        <w:r>
          <w:rPr>
            <w:rFonts w:eastAsia="source sans 3" w:cs="source sans 3" w:ascii="source sans 3" w:hAnsi="source sans 3"/>
            <w:color w:val="#000"/>
            <w:sz w:val="21"/>
            <w:u w:val="single"/>
          </w:rPr>
          <w:t xml:space="preserve">LifeLoop</w:t>
        </w:r>
      </w:hyperlink>
      <w:r>
        <w:rPr>
          <w:rFonts w:eastAsia="source serif 4" w:cs="source serif 4" w:ascii="source serif 4" w:hAnsi="source serif 4"/>
          <w:color w:val="000000"/>
          <w:sz w:val="21"/>
        </w:rPr>
        <w:t xml:space="preserve">, </w:t>
      </w:r>
      <w:hyperlink r:id="rId87">
        <w:r>
          <w:rPr>
            <w:rFonts w:eastAsia="source sans 3" w:cs="source sans 3" w:ascii="source sans 3" w:hAnsi="source sans 3"/>
            <w:color w:val="#000"/>
            <w:sz w:val="21"/>
            <w:u w:val="single"/>
          </w:rPr>
          <w:t xml:space="preserve">HealthTech Magazine</w:t>
        </w:r>
      </w:hyperlink>
      <w:r>
        <w:rPr>
          <w:rFonts w:eastAsia="source serif 4" w:cs="source serif 4" w:ascii="source serif 4" w:hAnsi="source serif 4"/>
          <w:color w:val="000000"/>
          <w:sz w:val="21"/>
        </w:rPr>
        <w:t xml:space="preserve">).</w:t>
      </w:r>
    </w:p>
    <w:p>
      <w:pPr>
        <w:numPr>
          <w:ilvl w:val="0"/>
          <w:numId w:val="1"/>
        </w:numPr>
        <w:spacing w:line="360" w:after="210" w:lineRule="auto"/>
      </w:pPr>
      <w:r>
        <w:rPr>
          <w:rFonts w:eastAsia="source serif 4" w:cs="source serif 4" w:ascii="source serif 4" w:hAnsi="source serif 4"/>
          <w:b/>
          <w:color w:val="000000"/>
          <w:sz w:val="21"/>
        </w:rPr>
        <w:t xml:space="preserve">Do not confuse “AI” with “generative AI.”</w:t>
      </w:r>
      <w:r>
        <w:rPr>
          <w:rFonts w:eastAsia="source serif 4" w:cs="source serif 4" w:ascii="source serif 4" w:hAnsi="source serif 4"/>
          <w:color w:val="000000"/>
          <w:sz w:val="21"/>
        </w:rPr>
        <w:t xml:space="preserve"> PointClickCare’s Chart Advisor, fall prediction tools, and other risk-identification systems may be operationally valuable, but they should not be counted as generative AI unless the vendor or operator explicitly documents LLMs, generated text, chatbots, copilots, or similar outputs (</w:t>
      </w:r>
      <w:hyperlink r:id="rId88">
        <w:r>
          <w:rPr>
            <w:rFonts w:eastAsia="source sans 3" w:cs="source sans 3" w:ascii="source sans 3" w:hAnsi="source sans 3"/>
            <w:color w:val="#000"/>
            <w:sz w:val="21"/>
            <w:u w:val="single"/>
          </w:rPr>
          <w:t xml:space="preserve">PointClickCare</w:t>
        </w:r>
      </w:hyperlink>
      <w:r>
        <w:rPr>
          <w:rFonts w:eastAsia="source serif 4" w:cs="source serif 4" w:ascii="source serif 4" w:hAnsi="source serif 4"/>
          <w:color w:val="000000"/>
          <w:sz w:val="21"/>
        </w:rPr>
        <w:t xml:space="preserve">, </w:t>
      </w:r>
      <w:hyperlink r:id="rId89">
        <w:r>
          <w:rPr>
            <w:rFonts w:eastAsia="source sans 3" w:cs="source sans 3" w:ascii="source sans 3" w:hAnsi="source sans 3"/>
            <w:color w:val="#000"/>
            <w:sz w:val="21"/>
            <w:u w:val="single"/>
          </w:rPr>
          <w:t xml:space="preserve">HealthTech Magazine</w:t>
        </w:r>
      </w:hyperlink>
      <w:r>
        <w:rPr>
          <w:rFonts w:eastAsia="source serif 4" w:cs="source serif 4" w:ascii="source serif 4" w:hAnsi="source serif 4"/>
          <w:color w:val="000000"/>
          <w:sz w:val="21"/>
        </w:rPr>
        <w:t xml:space="preserve">).</w:t>
      </w:r>
    </w:p>
    <w:p>
      <w:pPr>
        <w:spacing w:line="360" w:before="315" w:after="105" w:lineRule="auto"/>
        <w:ind w:left="-30"/>
        <w:jc w:val="left"/>
      </w:pPr>
      <w:bookmarkStart w:id="12" w:name="practical_executive_checklist"/>
      <w:r>
        <w:rPr>
          <w:rFonts w:eastAsia="source serif 4" w:cs="source serif 4" w:ascii="source serif 4" w:hAnsi="source serif 4"/>
          <w:b/>
          <w:color w:val="000000"/>
          <w:sz w:val="24"/>
        </w:rPr>
        <w:t xml:space="preserve">Practical executive checklist</w:t>
      </w:r>
      <w:bookmarkEnd w:id="12"/>
    </w:p>
    <w:tbl>
      <w:tblPr>
        <w:tblStyle w:val="TableGrid"/>
        <w:jc w:val="center"/>
        <w:tblCellSpacing w:w="0" w:type="dxa"/>
        <w:tblBorders>
          <w:top w:val="single" w:sz="2" w:space="0" w:color="000000"/>
          <w:left w:val="single" w:sz="2" w:space="0" w:color="000000"/>
          <w:bottom w:val="single" w:sz="2" w:space="0" w:color="000000"/>
          <w:right w:val="single" w:sz="2" w:space="0" w:color="000000"/>
        </w:tblBorders>
        <w:tblCellMar>
          <w:top w:type="dxa" w:w="80"/>
          <w:left w:type="dxa" w:w="160"/>
          <w:bottom w:type="dxa" w:w="80"/>
          <w:right w:type="dxa" w:w="160"/>
        </w:tblCellMar>
      </w:tblPr>
      <w:tblGrid>
        <w:gridCol w:w="3170"/>
        <w:gridCol w:w="3170"/>
        <w:gridCol w:w="3170"/>
      </w:tblGrid>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Decision area</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What to ask before approval</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Why it matters</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Use-case fit</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Is the tool drafting, summarizing, conversing, generating images, or recommending actions in a workflow where staff can review output?</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Publicly documented senior-living wins cluster around reviewed outputs such as summaries, outreach, biographies, activity content, and staff Q&amp;A (</w:t>
            </w:r>
            <w:hyperlink r:id="rId90">
              <w:r>
                <w:rPr>
                  <w:rFonts w:eastAsia="source sans 3" w:cs="source sans 3" w:ascii="source sans 3" w:hAnsi="source sans 3"/>
                  <w:color w:val="#000"/>
                  <w:sz w:val="17"/>
                  <w:u w:val="single"/>
                </w:rPr>
                <w:t xml:space="preserve">Aline</w:t>
              </w:r>
            </w:hyperlink>
            <w:r>
              <w:rPr>
                <w:rFonts w:eastAsia="source sans 3" w:cs="source sans 3" w:ascii="source sans 3" w:hAnsi="source sans 3"/>
                <w:color w:val="000000"/>
                <w:sz w:val="17"/>
              </w:rPr>
              <w:t xml:space="preserve">, </w:t>
            </w:r>
            <w:hyperlink r:id="rId91">
              <w:r>
                <w:rPr>
                  <w:rFonts w:eastAsia="source sans 3" w:cs="source sans 3" w:ascii="source sans 3" w:hAnsi="source sans 3"/>
                  <w:color w:val="#000"/>
                  <w:sz w:val="17"/>
                  <w:u w:val="single"/>
                </w:rPr>
                <w:t xml:space="preserve">LifeLoop</w:t>
              </w:r>
            </w:hyperlink>
            <w:r>
              <w:rPr>
                <w:rFonts w:eastAsia="source sans 3" w:cs="source sans 3" w:ascii="source sans 3" w:hAnsi="source sans 3"/>
                <w:color w:val="000000"/>
                <w:sz w:val="17"/>
              </w:rPr>
              <w:t xml:space="preserve">, </w:t>
            </w:r>
            <w:hyperlink r:id="rId92">
              <w:r>
                <w:rPr>
                  <w:rFonts w:eastAsia="source sans 3" w:cs="source sans 3" w:ascii="source sans 3" w:hAnsi="source sans 3"/>
                  <w:color w:val="#000"/>
                  <w:sz w:val="17"/>
                  <w:u w:val="single"/>
                </w:rPr>
                <w:t xml:space="preserve">Age in Place Technology Watch</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Data protection</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Can resident, staff, prospect, and PHI data stay inside approved systems with role-based access, logging, and no shared-model training?</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Ascent restricts HIPAA-sensitive uploads, and Aline says customer data is not used to train shared AI models and remains in each operator’s secure environment (</w:t>
            </w:r>
            <w:hyperlink r:id="rId93">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 </w:t>
            </w:r>
            <w:hyperlink r:id="rId94">
              <w:r>
                <w:rPr>
                  <w:rFonts w:eastAsia="source sans 3" w:cs="source sans 3" w:ascii="source sans 3" w:hAnsi="source sans 3"/>
                  <w:color w:val="#000"/>
                  <w:sz w:val="17"/>
                  <w:u w:val="single"/>
                </w:rPr>
                <w:t xml:space="preserve">PR Newswire</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Human oversight</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Who is accountable for approving an AI-generated email, care note, recommendation, summary, or resident-facing response?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Aline requires human review before AI-generated output is sent or recorded, and NEDA’s Tessa incident shows why generated responses in vulnerable populations need strict controls (</w:t>
            </w:r>
            <w:hyperlink r:id="rId95">
              <w:r>
                <w:rPr>
                  <w:rFonts w:eastAsia="source sans 3" w:cs="source sans 3" w:ascii="source sans 3" w:hAnsi="source sans 3"/>
                  <w:color w:val="#000"/>
                  <w:sz w:val="17"/>
                  <w:u w:val="single"/>
                </w:rPr>
                <w:t xml:space="preserve">PR Newswire</w:t>
              </w:r>
            </w:hyperlink>
            <w:r>
              <w:rPr>
                <w:rFonts w:eastAsia="source sans 3" w:cs="source sans 3" w:ascii="source sans 3" w:hAnsi="source sans 3"/>
                <w:color w:val="000000"/>
                <w:sz w:val="17"/>
              </w:rPr>
              <w:t xml:space="preserve">, </w:t>
            </w:r>
            <w:hyperlink r:id="rId96">
              <w:r>
                <w:rPr>
                  <w:rFonts w:eastAsia="source sans 3" w:cs="source sans 3" w:ascii="source sans 3" w:hAnsi="source sans 3"/>
                  <w:color w:val="#000"/>
                  <w:sz w:val="17"/>
                  <w:u w:val="single"/>
                </w:rPr>
                <w:t xml:space="preserve">NPR</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Measurement</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What baseline metric will improve within 90 days: hours saved, response time, connection rate, tour conversion, documentation gap closure, or activity-planning time?</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Operators and vendors are already using these measures in public disclosures, including Anthem’s hours-saved ROI, Aline Connect’s outreach and tour metrics, and LifeLoop’s time-savings claims (</w:t>
            </w:r>
            <w:hyperlink r:id="rId97">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 </w:t>
            </w:r>
            <w:hyperlink r:id="rId98">
              <w:r>
                <w:rPr>
                  <w:rFonts w:eastAsia="source sans 3" w:cs="source sans 3" w:ascii="source sans 3" w:hAnsi="source sans 3"/>
                  <w:color w:val="#000"/>
                  <w:sz w:val="17"/>
                  <w:u w:val="single"/>
                </w:rPr>
                <w:t xml:space="preserve">PR Newswire</w:t>
              </w:r>
            </w:hyperlink>
            <w:r>
              <w:rPr>
                <w:rFonts w:eastAsia="source sans 3" w:cs="source sans 3" w:ascii="source sans 3" w:hAnsi="source sans 3"/>
                <w:color w:val="000000"/>
                <w:sz w:val="17"/>
              </w:rPr>
              <w:t xml:space="preserve">, </w:t>
            </w:r>
            <w:hyperlink r:id="rId99">
              <w:r>
                <w:rPr>
                  <w:rFonts w:eastAsia="source sans 3" w:cs="source sans 3" w:ascii="source sans 3" w:hAnsi="source sans 3"/>
                  <w:color w:val="#000"/>
                  <w:sz w:val="17"/>
                  <w:u w:val="single"/>
                </w:rPr>
                <w:t xml:space="preserve">LifeLoop</w:t>
              </w:r>
            </w:hyperlink>
            <w:r>
              <w:rPr>
                <w:rFonts w:eastAsia="source sans 3" w:cs="source sans 3" w:ascii="source sans 3" w:hAnsi="source sans 3"/>
                <w:color w:val="000000"/>
                <w:sz w:val="17"/>
              </w:rPr>
              <w:t xml:space="preserve">).</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Risk controls</w:t>
            </w:r>
          </w:p>
        </w:tc>
        <w:tc>
          <w:tcPr>
            <w:tcBorders>
              <w:top w:val="single" w:sz="1" w:space="0" w:color="000000"/>
              <w:bottom w:val="single" w:sz="1" w:space="0" w:color="000000"/>
              <w:right w:val="single" w:sz="1" w:space="0" w:color="000000"/>
            </w:tcBorders>
          </w:tcPr>
          <w:p>
            <w:pPr>
              <w:spacing w:line="360" w:lineRule="auto"/>
            </w:pPr>
            <w:r>
              <w:rPr>
                <w:rFonts w:eastAsia="source sans 3" w:cs="source sans 3" w:ascii="source sans 3" w:hAnsi="source sans 3"/>
                <w:color w:val="000000"/>
                <w:sz w:val="17"/>
              </w:rPr>
              <w:t xml:space="preserve">What happens when the tool hallucinates, produces poor notes, sends awkward copy, gives unsafe advice, or uses outdated documents?</w:t>
            </w:r>
          </w:p>
        </w:tc>
        <w:tc>
          <w:tcPr>
            <w:tcBorders>
              <w:top w:val="single" w:sz="1" w:space="0" w:color="000000"/>
              <w:bottom w:val="single" w:sz="1" w:space="0" w:color="000000"/>
            </w:tcBorders>
          </w:tcPr>
          <w:p>
            <w:pPr>
              <w:spacing w:line="360" w:lineRule="auto"/>
            </w:pPr>
            <w:r>
              <w:rPr>
                <w:rFonts w:eastAsia="source sans 3" w:cs="source sans 3" w:ascii="source sans 3" w:hAnsi="source sans 3"/>
                <w:color w:val="000000"/>
                <w:sz w:val="17"/>
              </w:rPr>
              <w:t xml:space="preserve">Senior living operators have reported hallucinations and poor notes, and adjacent healthcare has already seen a chatbot taken down after harmful advice (</w:t>
            </w:r>
            <w:hyperlink r:id="rId100">
              <w:r>
                <w:rPr>
                  <w:rFonts w:eastAsia="source sans 3" w:cs="source sans 3" w:ascii="source sans 3" w:hAnsi="source sans 3"/>
                  <w:color w:val="#000"/>
                  <w:sz w:val="17"/>
                  <w:u w:val="single"/>
                </w:rPr>
                <w:t xml:space="preserve">Senior Housing News</w:t>
              </w:r>
            </w:hyperlink>
            <w:r>
              <w:rPr>
                <w:rFonts w:eastAsia="source sans 3" w:cs="source sans 3" w:ascii="source sans 3" w:hAnsi="source sans 3"/>
                <w:color w:val="000000"/>
                <w:sz w:val="17"/>
              </w:rPr>
              <w:t xml:space="preserve">, </w:t>
            </w:r>
            <w:hyperlink r:id="rId101">
              <w:r>
                <w:rPr>
                  <w:rFonts w:eastAsia="source sans 3" w:cs="source sans 3" w:ascii="source sans 3" w:hAnsi="source sans 3"/>
                  <w:color w:val="#000"/>
                  <w:sz w:val="17"/>
                  <w:u w:val="single"/>
                </w:rPr>
                <w:t xml:space="preserve">NPR</w:t>
              </w:r>
            </w:hyperlink>
            <w:r>
              <w:rPr>
                <w:rFonts w:eastAsia="source sans 3" w:cs="source sans 3" w:ascii="source sans 3" w:hAnsi="source sans 3"/>
                <w:color w:val="000000"/>
                <w:sz w:val="17"/>
              </w:rPr>
              <w:t xml:space="preserve">).</w:t>
            </w:r>
          </w:p>
        </w:tc>
      </w:tr>
    </w:tbl>
    <w:p>
      <w:pPr>
        <w:spacing w:lineRule="auto"/>
      </w:pPr>
    </w:p>
    <w:sectPr>
      <w:pgSz w:w="12240" w:h="15840" w:orient="portrait"/>
      <w:pgMar w:top="1365" w:right="1365" w:bottom="1365" w:left="1365" w:header="720" w:footer="72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source serif 4">
    <w:family w:val="auto"/>
    <w:pitch w:val="variable"/>
  </w:font>
  <w:font w:name="source sans 3">
    <w:family w:val="auto"/>
    <w:pitch w:val="variable"/>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multiLevelType w:val="hybridMultilevel"/>
    <w:lvl w:ilvl="0">
      <w:start w:val="1"/>
      <w:numFmt w:val="decimal"/>
      <w:lvlText w:val="%1."/>
      <w:lvlJc w:val="left"/>
      <w:pPr>
        <w:tabs>
          <w:tab w:val="num" w:pos="900"/>
        </w:tabs>
        <w:ind w:left="540" w:hanging="360"/>
      </w:p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style w:type="paragraph" w:default="1" w:styleId="Normal">
    <w:name w:val="Normal"/>
    <w:next w:val="Normal"/>
    <w:pPr/>
    <w:rPr>
      <w:rFonts w:ascii="Georgia" w:eastAsiaTheme="minorHAnsi" w:hAnsiTheme="minorHAnsi" w:cstheme="minorBidi"/>
      <w:sz w:val="21"/>
      <w:szCs w:val="22"/>
      <w:lang w:val="en-US" w:eastAsia="en-US" w:bidi="ar-SA"/>
    </w:rPr>
  </w:style>
  <w:style w:type="character" w:customStyle="1" w:styleId="VerbatimChar">
    <w:name w:val="Verbatim Char"/>
    <w:basedOn w:val="BodyTextChar"/>
    <w:rPr>
      <w:rFonts w:ascii="Consolas" w:hAnsi="Consolas"/>
      <w:sz w:val="22"/>
    </w:rPr>
  </w:style>
  <w:style w:type="table" w:default="1" w:styleId="TableNormal">
    <w:name w:val="Normal Table"/>
    <w:uiPriority w:val="99"/>
    <w:semiHidden/>
    <w:unhideWhenUsed/>
    <w:tblPr>
      <w:tblInd w:w="0" w:type="dxa"/>
      <w:tblCellMar>
        <w:top w:w="80" w:type="dxa"/>
        <w:left w:w="160" w:type="dxa"/>
        <w:bottom w:w="80" w:type="dxa"/>
        <w:right w:w="160" w:type="dxa"/>
      </w:tblCellMar>
    </w:tblPr>
  </w:style>
  <w:style w:type="table" w:styleId="TableGrid">
    <w:name w:val="Normal Grid"/>
    <w:basedOn w:val="TableNormal"/>
    <w:uiPriority w:val="39"/>
    <w:pPr>
      <w:spacing w:after="0" w:line="240" w:lineRule="auto"/>
    </w:pPr>
    <w:tblPr>
      <w:tblInd w:w="0" w:type="dxa"/>
      <w:tblCellMar>
        <w:top w:w="80" w:type="dxa"/>
        <w:left w:w="160" w:type="dxa"/>
        <w:bottom w:w="80" w:type="dxa"/>
        <w:right w:w="160" w:type="dxa"/>
      </w:tblCellMar>
    </w:tbl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seniorhousingnews.com/2026/06/29/senior-living-operators-find-good-and-bad-in-new-ai-platforms/" TargetMode="External"/><Relationship Id="rId6" Type="http://schemas.openxmlformats.org/officeDocument/2006/relationships/hyperlink" Target="https://www.prnewswire.com/news-releases/aline-launches-aline-connect-an-ai-powered-outbound-agent-built-natively-into-its-senior-living-crm-302769527.html" TargetMode="External"/><Relationship Id="rId7" Type="http://schemas.openxmlformats.org/officeDocument/2006/relationships/hyperlink" Target="https://lifeloop.com/newsroom/personalized-resident-engagement-at-scale-lifeloop-continues-ai-innovation-with-resident-onboarding-solution?hs_amp=true" TargetMode="External"/><Relationship Id="rId8" Type="http://schemas.openxmlformats.org/officeDocument/2006/relationships/hyperlink" Target="https://lifeloop.com/newsroom/lifeloop-unites-26-years-of-in2l-engagement-leadership-in-senior-living-with-the-transformative-power-of-ai" TargetMode="External"/><Relationship Id="rId9" Type="http://schemas.openxmlformats.org/officeDocument/2006/relationships/hyperlink" Target="https://cypressliving.org/artificial-intelligence-at-cypress-living/" TargetMode="External"/><Relationship Id="rId10" Type="http://schemas.openxmlformats.org/officeDocument/2006/relationships/hyperlink" Target="https://healthtechmagazine.net/article/2024/11/leadingage24-ai-age-here-how-can-senior-care-organizations-use-it-good" TargetMode="External"/><Relationship Id="rId11" Type="http://schemas.openxmlformats.org/officeDocument/2006/relationships/hyperlink" Target="https://www.ntst.com/carefabric/careguidance-solutions/ai-documentation-assistant" TargetMode="External"/><Relationship Id="rId12" Type="http://schemas.openxmlformats.org/officeDocument/2006/relationships/hyperlink" Target="https://blog.google/innovation-and-ai/infrastructure-and-cloud/google-cloud/hca-healthcare-nurse-handoff-app/" TargetMode="External"/><Relationship Id="rId13" Type="http://schemas.openxmlformats.org/officeDocument/2006/relationships/hyperlink" Target="https://seniorhousingnews.com/2026/06/29/senior-living-operators-find-good-and-bad-in-new-ai-platforms/" TargetMode="External"/><Relationship Id="rId14" Type="http://schemas.openxmlformats.org/officeDocument/2006/relationships/hyperlink" Target="https://www.npr.org/sections/health-shots/2023/06/08/1180838096/eating-disorder-helpline-takes-down-ai-chatbot-over-harmful-advice" TargetMode="External"/><Relationship Id="rId15" Type="http://schemas.openxmlformats.org/officeDocument/2006/relationships/hyperlink" Target="https://seniorhousingnews.com/2026/06/29/senior-living-operators-find-good-and-bad-in-new-ai-platforms/" TargetMode="External"/><Relationship Id="rId16" Type="http://schemas.openxmlformats.org/officeDocument/2006/relationships/hyperlink" Target="https://seniorhousingnews.com/2026/06/29/senior-living-operators-find-good-and-bad-in-new-ai-platforms/" TargetMode="External"/><Relationship Id="rId17" Type="http://schemas.openxmlformats.org/officeDocument/2006/relationships/hyperlink" Target="https://seniorhousingnews.com/2026/06/29/senior-living-operators-find-good-and-bad-in-new-ai-platforms/" TargetMode="External"/><Relationship Id="rId18" Type="http://schemas.openxmlformats.org/officeDocument/2006/relationships/hyperlink" Target="https://seniorhousingnews.com/2026/06/29/senior-living-operators-find-good-and-bad-in-new-ai-platforms/" TargetMode="External"/><Relationship Id="rId19" Type="http://schemas.openxmlformats.org/officeDocument/2006/relationships/hyperlink" Target="https://seniorhousingnews.com/2026/06/29/senior-living-operators-find-good-and-bad-in-new-ai-platforms/" TargetMode="External"/><Relationship Id="rId20" Type="http://schemas.openxmlformats.org/officeDocument/2006/relationships/hyperlink" Target="https://seniorhousingnews.com/2026/06/29/senior-living-operators-find-good-and-bad-in-new-ai-platforms/" TargetMode="External"/><Relationship Id="rId21" Type="http://schemas.openxmlformats.org/officeDocument/2006/relationships/hyperlink" Target="https://cypressliving.org/artificial-intelligence-at-cypress-living/" TargetMode="External"/><Relationship Id="rId22" Type="http://schemas.openxmlformats.org/officeDocument/2006/relationships/hyperlink" Target="https://healthtechmagazine.net/article/2024/11/leadingage24-ai-age-here-how-can-senior-care-organizations-use-it-good" TargetMode="External"/><Relationship Id="rId23" Type="http://schemas.openxmlformats.org/officeDocument/2006/relationships/hyperlink" Target="https://healthtechmagazine.net/article/2025/05/how-can-ai-support-senior-care-workforce" TargetMode="External"/><Relationship Id="rId24" Type="http://schemas.openxmlformats.org/officeDocument/2006/relationships/hyperlink" Target="https://healthtechmagazine.net/article/2024/11/leadingage24-ai-age-here-how-can-senior-care-organizations-use-it-good" TargetMode="External"/><Relationship Id="rId25" Type="http://schemas.openxmlformats.org/officeDocument/2006/relationships/hyperlink" Target="https://healthtechmagazine.net/article/2024/11/leadingage24-ai-age-here-how-can-senior-care-organizations-use-it-good" TargetMode="External"/><Relationship Id="rId26" Type="http://schemas.openxmlformats.org/officeDocument/2006/relationships/hyperlink" Target="https://healthtechmagazine.net/article/2025/05/how-can-ai-support-senior-care-workforce" TargetMode="External"/><Relationship Id="rId27" Type="http://schemas.openxmlformats.org/officeDocument/2006/relationships/hyperlink" Target="https://healthtechmagazine.net/article/2025/05/how-can-ai-support-senior-care-workforce" TargetMode="External"/><Relationship Id="rId28" Type="http://schemas.openxmlformats.org/officeDocument/2006/relationships/hyperlink" Target="https://seniorhousingnews.com/2025/05/19/ai-events-incentives-inside-new-sales-and-marketing-strategies-of-atria-discovery-heritage-communities/" TargetMode="External"/><Relationship Id="rId29" Type="http://schemas.openxmlformats.org/officeDocument/2006/relationships/hyperlink" Target="https://seniorhousingnews.com/2025/05/19/ai-events-incentives-inside-new-sales-and-marketing-strategies-of-atria-discovery-heritage-communities/" TargetMode="External"/><Relationship Id="rId30" Type="http://schemas.openxmlformats.org/officeDocument/2006/relationships/hyperlink" Target="https://seniorhousingnews.com/2025/03/14/how-senior-living-operators-balance-high-tech-tools-human-touch-in-sales-and-marketing/" TargetMode="External"/><Relationship Id="rId31" Type="http://schemas.openxmlformats.org/officeDocument/2006/relationships/hyperlink" Target="https://seniorhousingnews.com/2025/03/14/how-senior-living-operators-balance-high-tech-tools-human-touch-in-sales-and-marketing/" TargetMode="External"/><Relationship Id="rId32" Type="http://schemas.openxmlformats.org/officeDocument/2006/relationships/hyperlink" Target="https://seniorhousingnews.com/2025/03/14/how-senior-living-operators-balance-high-tech-tools-human-touch-in-sales-and-marketing/" TargetMode="External"/><Relationship Id="rId33" Type="http://schemas.openxmlformats.org/officeDocument/2006/relationships/hyperlink" Target="https://seniorhousingnews.com/2025/03/14/how-senior-living-operators-balance-high-tech-tools-human-touch-in-sales-and-marketing/" TargetMode="External"/><Relationship Id="rId34" Type="http://schemas.openxmlformats.org/officeDocument/2006/relationships/hyperlink" Target="https://www.prnewswire.com/news-releases/aline-launches-aline-connect-an-ai-powered-outbound-agent-built-natively-into-its-senior-living-crm-302769527.html" TargetMode="External"/><Relationship Id="rId35" Type="http://schemas.openxmlformats.org/officeDocument/2006/relationships/hyperlink" Target="https://www.prnewswire.com/news-releases/aline-launches-aline-connect-an-ai-powered-outbound-agent-built-natively-into-its-senior-living-crm-302769527.html" TargetMode="External"/><Relationship Id="rId36" Type="http://schemas.openxmlformats.org/officeDocument/2006/relationships/hyperlink" Target="https://alineops.com/press-releases/introducing-aline-intelligence/" TargetMode="External"/><Relationship Id="rId37" Type="http://schemas.openxmlformats.org/officeDocument/2006/relationships/hyperlink" Target="https://www.prnewswire.com/news-releases/aline-builds-intelligence-into-every-part-of-its-senior-living-platform-302751288.html" TargetMode="External"/><Relationship Id="rId38" Type="http://schemas.openxmlformats.org/officeDocument/2006/relationships/hyperlink" Target="https://www.prnewswire.com/news-releases/aline-builds-intelligence-into-every-part-of-its-senior-living-platform-302751288.html" TargetMode="External"/><Relationship Id="rId39" Type="http://schemas.openxmlformats.org/officeDocument/2006/relationships/hyperlink" Target="https://www.talkfurther.com/blog/introducing-salesai-the-newest-member-of-your-sales-org" TargetMode="External"/><Relationship Id="rId40" Type="http://schemas.openxmlformats.org/officeDocument/2006/relationships/hyperlink" Target="https://www.talkfurther.com/ai-phone-agents" TargetMode="External"/><Relationship Id="rId41" Type="http://schemas.openxmlformats.org/officeDocument/2006/relationships/hyperlink" Target="https://www.talkfurther.com/ai-phone-agents" TargetMode="External"/><Relationship Id="rId42" Type="http://schemas.openxmlformats.org/officeDocument/2006/relationships/hyperlink" Target="https://www.welcomehomesoftware.com/post/welcomehome-and-aidquest-announce-ai-integration-for-senior-care-engagement" TargetMode="External"/><Relationship Id="rId43" Type="http://schemas.openxmlformats.org/officeDocument/2006/relationships/hyperlink" Target="https://www.welcomehomesoftware.com/post/welcomehome-and-aidquest-announce-ai-integration-for-senior-care-engagement" TargetMode="External"/><Relationship Id="rId44" Type="http://schemas.openxmlformats.org/officeDocument/2006/relationships/hyperlink" Target="https://lifeloop.com/newsroom/personalized-resident-engagement-at-scale-lifeloop-continues-ai-innovation-with-resident-onboarding-solution?hs_amp=true" TargetMode="External"/><Relationship Id="rId45" Type="http://schemas.openxmlformats.org/officeDocument/2006/relationships/hyperlink" Target="https://lifeloop.com/newsroom/personalized-resident-engagement-at-scale-lifeloop-continues-ai-innovation-with-resident-onboarding-solution?hs_amp=true" TargetMode="External"/><Relationship Id="rId46" Type="http://schemas.openxmlformats.org/officeDocument/2006/relationships/hyperlink" Target="https://lifeloop.com/newsroom/lifeloop-unites-26-years-of-in2l-engagement-leadership-in-senior-living-with-the-transformative-power-of-ai" TargetMode="External"/><Relationship Id="rId47" Type="http://schemas.openxmlformats.org/officeDocument/2006/relationships/hyperlink" Target="https://lifeloop.com/newsroom/lifeloop-unites-26-years-of-in2l-engagement-leadership-in-senior-living-with-the-transformative-power-of-ai" TargetMode="External"/><Relationship Id="rId48" Type="http://schemas.openxmlformats.org/officeDocument/2006/relationships/hyperlink" Target="https://www.prnewswire.com/news-releases/intuition-robotics-launches-elliq-3-built-for-scale-to-meet-increasing-demand-as-partnerships-expand-and-adoption-grows-302030137.html" TargetMode="External"/><Relationship Id="rId49" Type="http://schemas.openxmlformats.org/officeDocument/2006/relationships/hyperlink" Target="https://www.prnewswire.com/news-releases/intuition-robotics-launches-elliq-3-built-for-scale-to-meet-increasing-demand-as-partnerships-expand-and-adoption-grows-302030137.html" TargetMode="External"/><Relationship Id="rId50" Type="http://schemas.openxmlformats.org/officeDocument/2006/relationships/hyperlink" Target="https://www.ageinplacetech.com/pressrelease/k4connect-and-pryon-bring-power-ai-senior-living-industry" TargetMode="External"/><Relationship Id="rId51" Type="http://schemas.openxmlformats.org/officeDocument/2006/relationships/hyperlink" Target="https://www.ageinplacetech.com/pressrelease/k4connect-and-pryon-bring-power-ai-senior-living-industry" TargetMode="External"/><Relationship Id="rId52" Type="http://schemas.openxmlformats.org/officeDocument/2006/relationships/hyperlink" Target="https://skypoint.ai/blog/skypoint-launches-generative-ai-platform-for-senior-living" TargetMode="External"/><Relationship Id="rId53" Type="http://schemas.openxmlformats.org/officeDocument/2006/relationships/hyperlink" Target="https://skypoint.ai/blog/skypoint-launches-generative-ai-platform-for-senior-living" TargetMode="External"/><Relationship Id="rId54" Type="http://schemas.openxmlformats.org/officeDocument/2006/relationships/hyperlink" Target="https://www.businesswire.com/news/home/20241029208881/en/Netsmart-Demonstrates-Next-Generation-Platform-Enhancing-Care-Delivery-Across-Home-Health-and-Senior-Living-Communities-at-LeadingAge-2024" TargetMode="External"/><Relationship Id="rId55" Type="http://schemas.openxmlformats.org/officeDocument/2006/relationships/hyperlink" Target="https://www.ntst.com/carefabric/careguidance-solutions/ai-documentation-assistant" TargetMode="External"/><Relationship Id="rId56" Type="http://schemas.openxmlformats.org/officeDocument/2006/relationships/hyperlink" Target="https://pointclickcare.com/press-releases/pointclickcare-expands-chart-advisor-to-senior-living/" TargetMode="External"/><Relationship Id="rId57" Type="http://schemas.openxmlformats.org/officeDocument/2006/relationships/hyperlink" Target="https://pointclickcare.com/press-releases/pointclickcare-expands-chart-advisor-to-senior-living/" TargetMode="External"/><Relationship Id="rId58" Type="http://schemas.openxmlformats.org/officeDocument/2006/relationships/hyperlink" Target="https://blog.google/innovation-and-ai/infrastructure-and-cloud/google-cloud/hca-healthcare-nurse-handoff-app/" TargetMode="External"/><Relationship Id="rId59" Type="http://schemas.openxmlformats.org/officeDocument/2006/relationships/hyperlink" Target="https://blog.google/innovation-and-ai/infrastructure-and-cloud/google-cloud/hca-healthcare-nurse-handoff-app/" TargetMode="External"/><Relationship Id="rId60" Type="http://schemas.openxmlformats.org/officeDocument/2006/relationships/hyperlink" Target="https://www.ntst.com/carefabric/careguidance-solutions/ai-documentation-assistant" TargetMode="External"/><Relationship Id="rId61" Type="http://schemas.openxmlformats.org/officeDocument/2006/relationships/hyperlink" Target="https://www.ntst.com/carefabric/careguidance-solutions/ai-documentation-assistant" TargetMode="External"/><Relationship Id="rId62" Type="http://schemas.openxmlformats.org/officeDocument/2006/relationships/hyperlink" Target="https://www.trytwofold.com/blog/best-ai-tool-for-skilled-nursing-facilities-notes-and-charting" TargetMode="External"/><Relationship Id="rId63" Type="http://schemas.openxmlformats.org/officeDocument/2006/relationships/hyperlink" Target="https://www.trytwofold.com/blog/best-ai-tool-for-skilled-nursing-facilities-notes-and-charting" TargetMode="External"/><Relationship Id="rId64" Type="http://schemas.openxmlformats.org/officeDocument/2006/relationships/hyperlink" Target="https://arxiv.org/html/2602.17083v1" TargetMode="External"/><Relationship Id="rId65" Type="http://schemas.openxmlformats.org/officeDocument/2006/relationships/hyperlink" Target="https://arxiv.org/html/2602.17083v1" TargetMode="External"/><Relationship Id="rId66" Type="http://schemas.openxmlformats.org/officeDocument/2006/relationships/hyperlink" Target="https://seniorhousingnews.com/2026/06/29/senior-living-operators-find-good-and-bad-in-new-ai-platforms/" TargetMode="External"/><Relationship Id="rId67" Type="http://schemas.openxmlformats.org/officeDocument/2006/relationships/hyperlink" Target="https://seniorhousingnews.com/2026/06/29/senior-living-operators-find-good-and-bad-in-new-ai-platforms/" TargetMode="External"/><Relationship Id="rId68" Type="http://schemas.openxmlformats.org/officeDocument/2006/relationships/hyperlink" Target="https://www.npr.org/sections/health-shots/2023/06/08/1180838096/eating-disorder-helpline-takes-down-ai-chatbot-over-harmful-advice" TargetMode="External"/><Relationship Id="rId69" Type="http://schemas.openxmlformats.org/officeDocument/2006/relationships/hyperlink" Target="https://www.npr.org/sections/health-shots/2023/06/08/1180838096/eating-disorder-helpline-takes-down-ai-chatbot-over-harmful-advice" TargetMode="External"/><Relationship Id="rId70" Type="http://schemas.openxmlformats.org/officeDocument/2006/relationships/hyperlink" Target="https://www.mcknightsseniorliving.com/news/chat-gpt-in-senior-living-and-healthcare-has-potential-but-also-limitations/" TargetMode="External"/><Relationship Id="rId71" Type="http://schemas.openxmlformats.org/officeDocument/2006/relationships/hyperlink" Target="https://www.mcknightsseniorliving.com/news/chat-gpt-in-senior-living-and-healthcare-has-potential-but-also-limitations/" TargetMode="External"/><Relationship Id="rId72" Type="http://schemas.openxmlformats.org/officeDocument/2006/relationships/hyperlink" Target="https://seniorhousingnews.com/2025/03/14/how-senior-living-operators-balance-high-tech-tools-human-touch-in-sales-and-marketing/" TargetMode="External"/><Relationship Id="rId73" Type="http://schemas.openxmlformats.org/officeDocument/2006/relationships/hyperlink" Target="https://www.prnewswire.com/news-releases/intuition-robotics-launches-elliq-3-built-for-scale-to-meet-increasing-demand-as-partnerships-expand-and-adoption-grows-302030137.html" TargetMode="External"/><Relationship Id="rId74" Type="http://schemas.openxmlformats.org/officeDocument/2006/relationships/hyperlink" Target="https://seniorhousingnews.com/2026/06/29/senior-living-operators-find-good-and-bad-in-new-ai-platforms/" TargetMode="External"/><Relationship Id="rId75" Type="http://schemas.openxmlformats.org/officeDocument/2006/relationships/hyperlink" Target="https://www.prnewswire.com/news-releases/aline-launches-aline-connect-an-ai-powered-outbound-agent-built-natively-into-its-senior-living-crm-302769527.html" TargetMode="External"/><Relationship Id="rId76" Type="http://schemas.openxmlformats.org/officeDocument/2006/relationships/hyperlink" Target="https://lifeloop.com/newsroom/personalized-resident-engagement-at-scale-lifeloop-continues-ai-innovation-with-resident-onboarding-solution?hs_amp=true" TargetMode="External"/><Relationship Id="rId77" Type="http://schemas.openxmlformats.org/officeDocument/2006/relationships/hyperlink" Target="https://healthtechmagazine.net/article/2024/11/leadingage24-ai-age-here-how-can-senior-care-organizations-use-it-good" TargetMode="External"/><Relationship Id="rId78" Type="http://schemas.openxmlformats.org/officeDocument/2006/relationships/hyperlink" Target="https://healthtechmagazine.net/article/2025/05/how-can-ai-support-senior-care-workforce" TargetMode="External"/><Relationship Id="rId79" Type="http://schemas.openxmlformats.org/officeDocument/2006/relationships/hyperlink" Target="https://www.mcknightsseniorliving.com/news/chat-gpt-in-senior-living-and-healthcare-has-potential-but-also-limitations/" TargetMode="External"/><Relationship Id="rId80" Type="http://schemas.openxmlformats.org/officeDocument/2006/relationships/hyperlink" Target="https://seniorhousingnews.com/2026/06/29/senior-living-operators-find-good-and-bad-in-new-ai-platforms/" TargetMode="External"/><Relationship Id="rId81" Type="http://schemas.openxmlformats.org/officeDocument/2006/relationships/hyperlink" Target="https://www.prnewswire.com/news-releases/aline-builds-intelligence-into-every-part-of-its-senior-living-platform-302751288.html" TargetMode="External"/><Relationship Id="rId82" Type="http://schemas.openxmlformats.org/officeDocument/2006/relationships/hyperlink" Target="https://seniorhousingnews.com/2026/06/29/senior-living-operators-find-good-and-bad-in-new-ai-platforms/" TargetMode="External"/><Relationship Id="rId83" Type="http://schemas.openxmlformats.org/officeDocument/2006/relationships/hyperlink" Target="https://www.npr.org/sections/health-shots/2023/06/08/1180838096/eating-disorder-helpline-takes-down-ai-chatbot-over-harmful-advice" TargetMode="External"/><Relationship Id="rId84" Type="http://schemas.openxmlformats.org/officeDocument/2006/relationships/hyperlink" Target="https://seniorhousingnews.com/2026/06/29/senior-living-operators-find-good-and-bad-in-new-ai-platforms/" TargetMode="External"/><Relationship Id="rId85" Type="http://schemas.openxmlformats.org/officeDocument/2006/relationships/hyperlink" Target="https://www.prnewswire.com/news-releases/aline-launches-aline-connect-an-ai-powered-outbound-agent-built-natively-into-its-senior-living-crm-302769527.html" TargetMode="External"/><Relationship Id="rId86" Type="http://schemas.openxmlformats.org/officeDocument/2006/relationships/hyperlink" Target="https://lifeloop.com/newsroom/personalized-resident-engagement-at-scale-lifeloop-continues-ai-innovation-with-resident-onboarding-solution?hs_amp=true" TargetMode="External"/><Relationship Id="rId87" Type="http://schemas.openxmlformats.org/officeDocument/2006/relationships/hyperlink" Target="https://healthtechmagazine.net/article/2024/11/leadingage24-ai-age-here-how-can-senior-care-organizations-use-it-good" TargetMode="External"/><Relationship Id="rId88" Type="http://schemas.openxmlformats.org/officeDocument/2006/relationships/hyperlink" Target="https://pointclickcare.com/press-releases/pointclickcare-expands-chart-advisor-to-senior-living/" TargetMode="External"/><Relationship Id="rId89" Type="http://schemas.openxmlformats.org/officeDocument/2006/relationships/hyperlink" Target="https://healthtechmagazine.net/article/2025/05/how-can-ai-support-senior-care-workforce" TargetMode="External"/><Relationship Id="rId90" Type="http://schemas.openxmlformats.org/officeDocument/2006/relationships/hyperlink" Target="https://alineops.com/press-releases/introducing-aline-intelligence/" TargetMode="External"/><Relationship Id="rId91" Type="http://schemas.openxmlformats.org/officeDocument/2006/relationships/hyperlink" Target="https://lifeloop.com/newsroom/personalized-resident-engagement-at-scale-lifeloop-continues-ai-innovation-with-resident-onboarding-solution?hs_amp=true" TargetMode="External"/><Relationship Id="rId92" Type="http://schemas.openxmlformats.org/officeDocument/2006/relationships/hyperlink" Target="https://www.ageinplacetech.com/pressrelease/k4connect-and-pryon-bring-power-ai-senior-living-industry" TargetMode="External"/><Relationship Id="rId93" Type="http://schemas.openxmlformats.org/officeDocument/2006/relationships/hyperlink" Target="https://seniorhousingnews.com/2026/06/29/senior-living-operators-find-good-and-bad-in-new-ai-platforms/" TargetMode="External"/><Relationship Id="rId94" Type="http://schemas.openxmlformats.org/officeDocument/2006/relationships/hyperlink" Target="https://www.prnewswire.com/news-releases/aline-builds-intelligence-into-every-part-of-its-senior-living-platform-302751288.html" TargetMode="External"/><Relationship Id="rId95" Type="http://schemas.openxmlformats.org/officeDocument/2006/relationships/hyperlink" Target="https://www.prnewswire.com/news-releases/aline-builds-intelligence-into-every-part-of-its-senior-living-platform-302751288.html" TargetMode="External"/><Relationship Id="rId96" Type="http://schemas.openxmlformats.org/officeDocument/2006/relationships/hyperlink" Target="https://www.npr.org/sections/health-shots/2023/06/08/1180838096/eating-disorder-helpline-takes-down-ai-chatbot-over-harmful-advice" TargetMode="External"/><Relationship Id="rId97" Type="http://schemas.openxmlformats.org/officeDocument/2006/relationships/hyperlink" Target="https://seniorhousingnews.com/2026/06/29/senior-living-operators-find-good-and-bad-in-new-ai-platforms/" TargetMode="External"/><Relationship Id="rId98" Type="http://schemas.openxmlformats.org/officeDocument/2006/relationships/hyperlink" Target="https://www.prnewswire.com/news-releases/aline-launches-aline-connect-an-ai-powered-outbound-agent-built-natively-into-its-senior-living-crm-302769527.html" TargetMode="External"/><Relationship Id="rId99" Type="http://schemas.openxmlformats.org/officeDocument/2006/relationships/hyperlink" Target="https://lifeloop.com/newsroom/lifeloop-unites-26-years-of-in2l-engagement-leadership-in-senior-living-with-the-transformative-power-of-ai" TargetMode="External"/><Relationship Id="rId100" Type="http://schemas.openxmlformats.org/officeDocument/2006/relationships/hyperlink" Target="https://seniorhousingnews.com/2026/06/29/senior-living-operators-find-good-and-bad-in-new-ai-platforms/" TargetMode="External"/><Relationship Id="rId101" Type="http://schemas.openxmlformats.org/officeDocument/2006/relationships/hyperlink" Target="https://www.npr.org/sections/health-shots/2023/06/08/1180838096/eating-disorder-helpline-takes-down-ai-chatbot-over-harmful-advice" TargetMode="External"/></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2026-07-17T06:38:44.679Z</dcterms:created>
  <dcterms:modified xsi:type="dcterms:W3CDTF">2026-07-17T06:38:44.679Z</dcterms:modified>
</cp:coreProperties>
</file>